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E27BC">
      <w:pPr>
        <w:tabs>
          <w:tab w:val="left" w:pos="420"/>
        </w:tabs>
        <w:spacing w:line="1700" w:lineRule="exact"/>
        <w:jc w:val="center"/>
        <w:rPr>
          <w:rFonts w:hint="eastAsia" w:ascii="宋体" w:hAnsi="宋体"/>
          <w:b/>
          <w:bCs/>
          <w:sz w:val="52"/>
          <w:szCs w:val="52"/>
        </w:rPr>
      </w:pPr>
      <w:r>
        <w:rPr>
          <w:rFonts w:hint="eastAsia" w:ascii="宋体" w:hAnsi="宋体"/>
          <w:b/>
          <w:bCs/>
          <w:sz w:val="52"/>
          <w:szCs w:val="52"/>
        </w:rPr>
        <w:t>竞争性磋商文件</w:t>
      </w:r>
    </w:p>
    <w:p w14:paraId="7B240E3D">
      <w:pPr>
        <w:tabs>
          <w:tab w:val="left" w:pos="420"/>
        </w:tabs>
        <w:spacing w:line="1700" w:lineRule="exact"/>
        <w:jc w:val="center"/>
        <w:rPr>
          <w:rFonts w:hint="eastAsia" w:ascii="宋体" w:hAnsi="宋体"/>
          <w:b/>
          <w:bCs/>
          <w:sz w:val="52"/>
          <w:szCs w:val="52"/>
        </w:rPr>
      </w:pPr>
      <w:r>
        <w:rPr>
          <w:rFonts w:hint="eastAsia" w:ascii="宋体" w:hAnsi="宋体"/>
          <w:b/>
          <w:bCs/>
          <w:sz w:val="52"/>
          <w:szCs w:val="52"/>
          <w:lang w:eastAsia="zh-CN"/>
        </w:rPr>
        <w:t>（</w:t>
      </w:r>
      <w:r>
        <w:rPr>
          <w:rFonts w:hint="eastAsia" w:ascii="宋体" w:hAnsi="宋体"/>
          <w:b/>
          <w:bCs/>
          <w:sz w:val="52"/>
          <w:szCs w:val="52"/>
          <w:lang w:val="en-US" w:eastAsia="zh-CN"/>
        </w:rPr>
        <w:t>服务类</w:t>
      </w:r>
      <w:r>
        <w:rPr>
          <w:rFonts w:hint="eastAsia" w:ascii="宋体" w:hAnsi="宋体"/>
          <w:b/>
          <w:bCs/>
          <w:sz w:val="52"/>
          <w:szCs w:val="52"/>
        </w:rPr>
        <w:t>）</w:t>
      </w:r>
    </w:p>
    <w:p w14:paraId="18D4B9A6">
      <w:pPr>
        <w:tabs>
          <w:tab w:val="left" w:pos="315"/>
          <w:tab w:val="left" w:pos="8820"/>
        </w:tabs>
        <w:spacing w:line="500" w:lineRule="exact"/>
        <w:jc w:val="right"/>
        <w:rPr>
          <w:rFonts w:ascii="宋体" w:hAnsi="宋体"/>
          <w:bCs/>
          <w:sz w:val="24"/>
          <w:szCs w:val="24"/>
        </w:rPr>
      </w:pPr>
    </w:p>
    <w:p w14:paraId="00731258">
      <w:pPr>
        <w:spacing w:line="360" w:lineRule="auto"/>
        <w:jc w:val="left"/>
        <w:rPr>
          <w:rFonts w:hint="eastAsia" w:ascii="宋体" w:hAnsi="宋体"/>
          <w:sz w:val="24"/>
          <w:szCs w:val="24"/>
        </w:rPr>
      </w:pPr>
    </w:p>
    <w:p w14:paraId="5B5AEE45">
      <w:pPr>
        <w:spacing w:line="360" w:lineRule="auto"/>
        <w:jc w:val="left"/>
        <w:rPr>
          <w:rFonts w:ascii="宋体" w:hAnsi="宋体"/>
          <w:sz w:val="24"/>
          <w:szCs w:val="24"/>
        </w:rPr>
      </w:pPr>
    </w:p>
    <w:p w14:paraId="7CA0ADCE">
      <w:pPr>
        <w:tabs>
          <w:tab w:val="left" w:pos="315"/>
          <w:tab w:val="left" w:pos="8820"/>
        </w:tabs>
        <w:spacing w:before="240" w:beforeLines="100" w:after="120" w:afterLines="50" w:line="500" w:lineRule="exact"/>
        <w:ind w:right="25" w:rightChars="12"/>
        <w:jc w:val="center"/>
        <w:rPr>
          <w:rFonts w:ascii="宋体" w:hAnsi="宋体"/>
          <w:sz w:val="24"/>
          <w:szCs w:val="24"/>
        </w:rPr>
      </w:pPr>
    </w:p>
    <w:p w14:paraId="4D2FEC1E">
      <w:pPr>
        <w:tabs>
          <w:tab w:val="left" w:pos="315"/>
          <w:tab w:val="left" w:pos="8820"/>
        </w:tabs>
        <w:spacing w:before="240" w:beforeLines="100" w:after="120" w:afterLines="50" w:line="500" w:lineRule="exact"/>
        <w:ind w:right="25" w:rightChars="12"/>
        <w:jc w:val="center"/>
        <w:rPr>
          <w:rFonts w:ascii="宋体" w:hAnsi="宋体"/>
          <w:sz w:val="24"/>
          <w:szCs w:val="24"/>
        </w:rPr>
      </w:pPr>
    </w:p>
    <w:p w14:paraId="137D79D3">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21CCEABC">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0B4D7D28">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077BB491">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1A54C5E3">
      <w:pPr>
        <w:tabs>
          <w:tab w:val="left" w:pos="2410"/>
        </w:tabs>
        <w:autoSpaceDE w:val="0"/>
        <w:autoSpaceDN w:val="0"/>
        <w:adjustRightInd w:val="0"/>
        <w:snapToGrid w:val="0"/>
        <w:spacing w:line="360" w:lineRule="auto"/>
        <w:rPr>
          <w:rFonts w:ascii="宋体" w:hAnsi="宋体" w:cs="宋体"/>
          <w:b/>
          <w:spacing w:val="20"/>
          <w:kern w:val="0"/>
          <w:sz w:val="24"/>
          <w:szCs w:val="24"/>
          <w:highlight w:val="none"/>
        </w:rPr>
      </w:pPr>
    </w:p>
    <w:p w14:paraId="31BAD8E5">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left="1806" w:leftChars="0" w:hanging="1806" w:hangingChars="500"/>
        <w:textAlignment w:val="auto"/>
        <w:rPr>
          <w:rFonts w:hint="eastAsia" w:ascii="宋体" w:hAnsi="DotumChe" w:eastAsia="宋体" w:cs="宋体"/>
          <w:b/>
          <w:spacing w:val="20"/>
          <w:kern w:val="0"/>
          <w:sz w:val="32"/>
          <w:szCs w:val="32"/>
          <w:highlight w:val="none"/>
          <w:lang w:val="en-US" w:eastAsia="zh-CN"/>
        </w:rPr>
      </w:pPr>
      <w:r>
        <w:rPr>
          <w:rFonts w:hint="eastAsia" w:ascii="宋体" w:hAnsi="DotumChe" w:cs="宋体"/>
          <w:b/>
          <w:spacing w:val="20"/>
          <w:kern w:val="0"/>
          <w:sz w:val="32"/>
          <w:szCs w:val="32"/>
          <w:highlight w:val="none"/>
        </w:rPr>
        <w:t>项目名称：</w:t>
      </w:r>
      <w:r>
        <w:rPr>
          <w:rFonts w:hint="eastAsia" w:ascii="宋体" w:hAnsi="DotumChe" w:cs="宋体"/>
          <w:b/>
          <w:spacing w:val="20"/>
          <w:kern w:val="0"/>
          <w:sz w:val="32"/>
          <w:szCs w:val="32"/>
          <w:highlight w:val="none"/>
          <w:lang w:val="en-US" w:eastAsia="zh-CN"/>
        </w:rPr>
        <w:t>合肥庐阳城市资源经营管理有限公司安庆海棠花园小区电梯维保服务</w:t>
      </w:r>
    </w:p>
    <w:p w14:paraId="5094C377">
      <w:pPr>
        <w:tabs>
          <w:tab w:val="left" w:pos="2410"/>
        </w:tabs>
        <w:autoSpaceDE w:val="0"/>
        <w:autoSpaceDN w:val="0"/>
        <w:adjustRightInd w:val="0"/>
        <w:snapToGrid w:val="0"/>
        <w:spacing w:line="360" w:lineRule="auto"/>
        <w:rPr>
          <w:rFonts w:hint="eastAsia" w:ascii="宋体" w:hAnsi="DotumChe" w:cs="宋体"/>
          <w:b/>
          <w:spacing w:val="20"/>
          <w:kern w:val="0"/>
          <w:sz w:val="32"/>
          <w:szCs w:val="32"/>
          <w:u w:val="none"/>
          <w:lang w:eastAsia="zh-CN"/>
        </w:rPr>
      </w:pPr>
      <w:r>
        <w:rPr>
          <w:rFonts w:hint="eastAsia" w:ascii="宋体" w:hAnsi="DotumChe" w:cs="宋体"/>
          <w:b/>
          <w:spacing w:val="20"/>
          <w:kern w:val="0"/>
          <w:sz w:val="32"/>
          <w:szCs w:val="32"/>
          <w:u w:val="none"/>
        </w:rPr>
        <w:t>招 标 人：</w:t>
      </w:r>
      <w:r>
        <w:rPr>
          <w:rFonts w:hint="eastAsia" w:hAnsi="DotumChe" w:cs="宋体"/>
          <w:b/>
          <w:spacing w:val="20"/>
          <w:kern w:val="0"/>
          <w:sz w:val="32"/>
          <w:szCs w:val="32"/>
          <w:u w:val="none"/>
          <w:lang w:eastAsia="zh-CN"/>
        </w:rPr>
        <w:t>合肥庐阳城市资源经营管理有限公司</w:t>
      </w:r>
    </w:p>
    <w:p w14:paraId="3A3A4CAD">
      <w:pPr>
        <w:tabs>
          <w:tab w:val="left" w:pos="2410"/>
        </w:tabs>
        <w:autoSpaceDE w:val="0"/>
        <w:autoSpaceDN w:val="0"/>
        <w:adjustRightInd w:val="0"/>
        <w:snapToGrid w:val="0"/>
        <w:spacing w:line="360" w:lineRule="auto"/>
        <w:rPr>
          <w:rFonts w:hint="eastAsia" w:ascii="宋体" w:hAnsi="DotumChe" w:cs="宋体"/>
          <w:b/>
          <w:spacing w:val="20"/>
          <w:kern w:val="0"/>
          <w:sz w:val="32"/>
          <w:szCs w:val="32"/>
          <w:u w:val="none"/>
          <w:lang w:val="en-US" w:eastAsia="zh-CN"/>
        </w:rPr>
      </w:pPr>
      <w:r>
        <w:rPr>
          <w:rFonts w:hint="eastAsia" w:ascii="宋体" w:hAnsi="DotumChe" w:cs="宋体"/>
          <w:b/>
          <w:spacing w:val="20"/>
          <w:kern w:val="0"/>
          <w:sz w:val="32"/>
          <w:szCs w:val="32"/>
          <w:u w:val="none"/>
          <w:lang w:val="en-US" w:eastAsia="zh-CN"/>
        </w:rPr>
        <w:t>项目编号：2025LYCFZC062</w:t>
      </w:r>
    </w:p>
    <w:p w14:paraId="7491DF51">
      <w:pPr>
        <w:tabs>
          <w:tab w:val="left" w:pos="2410"/>
        </w:tabs>
        <w:autoSpaceDE w:val="0"/>
        <w:autoSpaceDN w:val="0"/>
        <w:adjustRightInd w:val="0"/>
        <w:snapToGrid w:val="0"/>
        <w:spacing w:line="360" w:lineRule="auto"/>
        <w:rPr>
          <w:rFonts w:hint="default" w:ascii="宋体" w:hAnsi="DotumChe" w:eastAsia="宋体" w:cs="宋体"/>
          <w:b/>
          <w:spacing w:val="20"/>
          <w:kern w:val="0"/>
          <w:sz w:val="32"/>
          <w:szCs w:val="32"/>
          <w:u w:val="none"/>
          <w:lang w:val="en-US" w:eastAsia="zh-CN"/>
        </w:rPr>
      </w:pPr>
      <w:r>
        <w:rPr>
          <w:rFonts w:hint="eastAsia" w:ascii="宋体" w:hAnsi="DotumChe" w:cs="宋体"/>
          <w:b/>
          <w:spacing w:val="20"/>
          <w:kern w:val="0"/>
          <w:sz w:val="32"/>
          <w:szCs w:val="32"/>
          <w:u w:val="none"/>
        </w:rPr>
        <w:t>招标时间：</w:t>
      </w:r>
      <w:r>
        <w:rPr>
          <w:rFonts w:hint="eastAsia" w:ascii="宋体" w:hAnsi="DotumChe" w:cs="宋体"/>
          <w:b/>
          <w:spacing w:val="20"/>
          <w:kern w:val="0"/>
          <w:sz w:val="32"/>
          <w:szCs w:val="32"/>
          <w:u w:val="none"/>
          <w:lang w:val="en-US" w:eastAsia="zh-CN"/>
        </w:rPr>
        <w:t>2025年11月</w:t>
      </w:r>
    </w:p>
    <w:p w14:paraId="0AD6AB0C">
      <w:pPr>
        <w:spacing w:after="468" w:afterLines="150" w:line="540" w:lineRule="exact"/>
        <w:jc w:val="center"/>
        <w:rPr>
          <w:rFonts w:hint="eastAsia" w:hAnsi="宋体"/>
          <w:b/>
          <w:sz w:val="52"/>
          <w:szCs w:val="52"/>
          <w:highlight w:val="none"/>
        </w:rPr>
      </w:pPr>
    </w:p>
    <w:p w14:paraId="5D516645">
      <w:pPr>
        <w:pStyle w:val="21"/>
        <w:rPr>
          <w:rFonts w:hint="eastAsia"/>
        </w:rPr>
      </w:pPr>
    </w:p>
    <w:p w14:paraId="5301C7F6">
      <w:pPr>
        <w:spacing w:after="468" w:afterLines="150" w:line="540" w:lineRule="exact"/>
        <w:jc w:val="center"/>
        <w:rPr>
          <w:rFonts w:hint="eastAsia"/>
          <w:sz w:val="24"/>
          <w:lang w:val="en-US" w:eastAsia="zh-CN" w:bidi="ar-SA"/>
        </w:rPr>
      </w:pPr>
      <w:r>
        <w:rPr>
          <w:rFonts w:hint="eastAsia"/>
          <w:sz w:val="24"/>
          <w:lang w:val="en-US" w:eastAsia="zh-CN" w:bidi="ar-SA"/>
        </w:rPr>
        <w:tab/>
      </w:r>
    </w:p>
    <w:p w14:paraId="757BBD0A">
      <w:pPr>
        <w:spacing w:after="468" w:afterLines="150" w:line="540" w:lineRule="exact"/>
        <w:jc w:val="center"/>
        <w:rPr>
          <w:rFonts w:hint="eastAsia" w:hAnsi="宋体"/>
          <w:b/>
          <w:sz w:val="52"/>
          <w:szCs w:val="52"/>
          <w:highlight w:val="none"/>
        </w:rPr>
      </w:pPr>
      <w:r>
        <w:rPr>
          <w:rFonts w:hint="eastAsia" w:hAnsi="宋体"/>
          <w:b/>
          <w:sz w:val="52"/>
          <w:szCs w:val="52"/>
          <w:highlight w:val="none"/>
        </w:rPr>
        <w:t>目  录</w:t>
      </w:r>
    </w:p>
    <w:p w14:paraId="092B2D3B">
      <w:pPr>
        <w:pStyle w:val="16"/>
        <w:tabs>
          <w:tab w:val="right" w:leader="dot" w:pos="8504"/>
        </w:tabs>
      </w:pPr>
      <w:r>
        <w:rPr>
          <w:rFonts w:ascii="Times New Roman" w:hAnsi="Times New Roman" w:eastAsia="黑体" w:cs="Times New Roman"/>
          <w:sz w:val="24"/>
          <w:szCs w:val="24"/>
          <w:highlight w:val="none"/>
        </w:rPr>
        <w:fldChar w:fldCharType="begin"/>
      </w:r>
      <w:r>
        <w:rPr>
          <w:rFonts w:ascii="Times New Roman" w:hAnsi="Times New Roman" w:eastAsia="黑体" w:cs="Times New Roman"/>
          <w:sz w:val="24"/>
          <w:szCs w:val="24"/>
          <w:highlight w:val="none"/>
        </w:rPr>
        <w:instrText xml:space="preserve"> TOC \o "1-2" \h \z \u </w:instrText>
      </w:r>
      <w:r>
        <w:rPr>
          <w:rFonts w:ascii="Times New Roman" w:hAnsi="Times New Roman" w:eastAsia="黑体" w:cs="Times New Roman"/>
          <w:sz w:val="24"/>
          <w:szCs w:val="24"/>
          <w:highlight w:val="none"/>
        </w:rPr>
        <w:fldChar w:fldCharType="separate"/>
      </w:r>
      <w:r>
        <w:rPr>
          <w:rFonts w:ascii="Times New Roman" w:hAnsi="Times New Roman" w:eastAsia="黑体" w:cs="Times New Roman"/>
          <w:szCs w:val="24"/>
          <w:highlight w:val="none"/>
        </w:rPr>
        <w:fldChar w:fldCharType="begin"/>
      </w:r>
      <w:r>
        <w:rPr>
          <w:rFonts w:ascii="Times New Roman" w:hAnsi="Times New Roman" w:eastAsia="黑体" w:cs="Times New Roman"/>
          <w:szCs w:val="24"/>
          <w:highlight w:val="none"/>
        </w:rPr>
        <w:instrText xml:space="preserve"> HYPERLINK \l _Toc4378 </w:instrText>
      </w:r>
      <w:r>
        <w:rPr>
          <w:rFonts w:ascii="Times New Roman" w:hAnsi="Times New Roman" w:eastAsia="黑体" w:cs="Times New Roman"/>
          <w:szCs w:val="24"/>
          <w:highlight w:val="none"/>
        </w:rPr>
        <w:fldChar w:fldCharType="separate"/>
      </w:r>
      <w:r>
        <w:rPr>
          <w:rFonts w:hint="eastAsia"/>
          <w:szCs w:val="24"/>
        </w:rPr>
        <w:t xml:space="preserve">第一章 </w:t>
      </w:r>
      <w:r>
        <w:rPr>
          <w:rFonts w:hint="eastAsia"/>
          <w:highlight w:val="none"/>
        </w:rPr>
        <w:t>磋商邀请（磋商公告）</w:t>
      </w:r>
      <w:r>
        <w:tab/>
      </w:r>
      <w:r>
        <w:fldChar w:fldCharType="begin"/>
      </w:r>
      <w:r>
        <w:instrText xml:space="preserve"> PAGEREF _Toc4378 \h </w:instrText>
      </w:r>
      <w:r>
        <w:fldChar w:fldCharType="separate"/>
      </w:r>
      <w:r>
        <w:t>3</w:t>
      </w:r>
      <w:r>
        <w:fldChar w:fldCharType="end"/>
      </w:r>
      <w:r>
        <w:rPr>
          <w:rFonts w:ascii="Times New Roman" w:hAnsi="Times New Roman" w:eastAsia="黑体" w:cs="Times New Roman"/>
          <w:szCs w:val="24"/>
          <w:highlight w:val="none"/>
        </w:rPr>
        <w:fldChar w:fldCharType="end"/>
      </w:r>
    </w:p>
    <w:p w14:paraId="4E8C0245">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_Toc27714 </w:instrText>
      </w:r>
      <w:r>
        <w:rPr>
          <w:rFonts w:eastAsia="黑体"/>
          <w:szCs w:val="24"/>
          <w:highlight w:val="none"/>
        </w:rPr>
        <w:fldChar w:fldCharType="separate"/>
      </w:r>
      <w:r>
        <w:rPr>
          <w:rFonts w:hint="eastAsia" w:hAnsi="宋体"/>
          <w:highlight w:val="none"/>
        </w:rPr>
        <w:t>第二章  投标人须知</w:t>
      </w:r>
      <w:r>
        <w:tab/>
      </w:r>
      <w:r>
        <w:fldChar w:fldCharType="begin"/>
      </w:r>
      <w:r>
        <w:instrText xml:space="preserve"> PAGEREF _Toc27714 \h </w:instrText>
      </w:r>
      <w:r>
        <w:fldChar w:fldCharType="separate"/>
      </w:r>
      <w:r>
        <w:t>4</w:t>
      </w:r>
      <w:r>
        <w:fldChar w:fldCharType="end"/>
      </w:r>
      <w:r>
        <w:rPr>
          <w:rFonts w:eastAsia="黑体"/>
          <w:szCs w:val="24"/>
          <w:highlight w:val="none"/>
        </w:rPr>
        <w:fldChar w:fldCharType="end"/>
      </w:r>
    </w:p>
    <w:p w14:paraId="66BFBC78">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_Toc23172 </w:instrText>
      </w:r>
      <w:r>
        <w:rPr>
          <w:rFonts w:eastAsia="黑体"/>
          <w:szCs w:val="24"/>
          <w:highlight w:val="none"/>
        </w:rPr>
        <w:fldChar w:fldCharType="separate"/>
      </w:r>
      <w:r>
        <w:rPr>
          <w:rFonts w:hint="eastAsia" w:ascii="宋体" w:hAnsi="宋体" w:eastAsia="宋体"/>
        </w:rPr>
        <w:t>投标人须知</w:t>
      </w:r>
      <w:r>
        <w:rPr>
          <w:rFonts w:hint="eastAsia" w:ascii="宋体" w:hAnsi="宋体" w:eastAsia="宋体"/>
          <w:lang w:eastAsia="zh-CN"/>
        </w:rPr>
        <w:t>正文</w:t>
      </w:r>
      <w:r>
        <w:tab/>
      </w:r>
      <w:r>
        <w:fldChar w:fldCharType="begin"/>
      </w:r>
      <w:r>
        <w:instrText xml:space="preserve"> PAGEREF _Toc23172 \h </w:instrText>
      </w:r>
      <w:r>
        <w:fldChar w:fldCharType="separate"/>
      </w:r>
      <w:r>
        <w:t>8</w:t>
      </w:r>
      <w:r>
        <w:fldChar w:fldCharType="end"/>
      </w:r>
      <w:r>
        <w:rPr>
          <w:rFonts w:eastAsia="黑体"/>
          <w:szCs w:val="24"/>
          <w:highlight w:val="none"/>
        </w:rPr>
        <w:fldChar w:fldCharType="end"/>
      </w:r>
    </w:p>
    <w:p w14:paraId="42AF26B6">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_Toc16130 </w:instrText>
      </w:r>
      <w:r>
        <w:rPr>
          <w:rFonts w:eastAsia="黑体"/>
          <w:szCs w:val="24"/>
          <w:highlight w:val="none"/>
        </w:rPr>
        <w:fldChar w:fldCharType="separate"/>
      </w:r>
      <w:r>
        <w:rPr>
          <w:rFonts w:hint="eastAsia" w:ascii="宋体" w:hAnsi="Times New Roman" w:eastAsia="宋体" w:cs="Times New Roman"/>
          <w:bCs/>
          <w:lang w:val="en-US" w:eastAsia="zh-CN"/>
        </w:rPr>
        <w:t>第三章 招标需求</w:t>
      </w:r>
      <w:r>
        <w:tab/>
      </w:r>
      <w:r>
        <w:fldChar w:fldCharType="begin"/>
      </w:r>
      <w:r>
        <w:instrText xml:space="preserve"> PAGEREF _Toc16130 \h </w:instrText>
      </w:r>
      <w:r>
        <w:fldChar w:fldCharType="separate"/>
      </w:r>
      <w:r>
        <w:t>8</w:t>
      </w:r>
      <w:r>
        <w:fldChar w:fldCharType="end"/>
      </w:r>
      <w:r>
        <w:rPr>
          <w:rFonts w:eastAsia="黑体"/>
          <w:szCs w:val="24"/>
          <w:highlight w:val="none"/>
        </w:rPr>
        <w:fldChar w:fldCharType="end"/>
      </w:r>
    </w:p>
    <w:p w14:paraId="1FEA28D7">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_Toc14439 </w:instrText>
      </w:r>
      <w:r>
        <w:rPr>
          <w:rFonts w:eastAsia="黑体"/>
          <w:szCs w:val="24"/>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四</w:t>
      </w:r>
      <w:r>
        <w:rPr>
          <w:rFonts w:hint="eastAsia" w:ascii="黑体" w:hAnsi="黑体" w:eastAsia="黑体"/>
          <w:highlight w:val="none"/>
        </w:rPr>
        <w:t>章  评</w:t>
      </w:r>
      <w:r>
        <w:rPr>
          <w:rFonts w:hint="eastAsia" w:ascii="黑体" w:hAnsi="黑体" w:eastAsia="黑体"/>
          <w:highlight w:val="none"/>
          <w:lang w:eastAsia="zh-CN"/>
        </w:rPr>
        <w:t>审方</w:t>
      </w:r>
      <w:r>
        <w:rPr>
          <w:rFonts w:hint="eastAsia" w:ascii="黑体" w:hAnsi="黑体" w:eastAsia="黑体"/>
          <w:highlight w:val="none"/>
        </w:rPr>
        <w:t>法</w:t>
      </w:r>
      <w:r>
        <w:rPr>
          <w:rFonts w:hint="eastAsia" w:ascii="黑体" w:hAnsi="黑体" w:eastAsia="黑体"/>
          <w:highlight w:val="none"/>
          <w:lang w:eastAsia="zh-CN"/>
        </w:rPr>
        <w:t>与标准</w:t>
      </w:r>
      <w:r>
        <w:tab/>
      </w:r>
      <w:r>
        <w:fldChar w:fldCharType="begin"/>
      </w:r>
      <w:r>
        <w:instrText xml:space="preserve"> PAGEREF _Toc14439 \h </w:instrText>
      </w:r>
      <w:r>
        <w:fldChar w:fldCharType="separate"/>
      </w:r>
      <w:r>
        <w:t>35</w:t>
      </w:r>
      <w:r>
        <w:fldChar w:fldCharType="end"/>
      </w:r>
      <w:r>
        <w:rPr>
          <w:rFonts w:eastAsia="黑体"/>
          <w:szCs w:val="24"/>
          <w:highlight w:val="none"/>
        </w:rPr>
        <w:fldChar w:fldCharType="end"/>
      </w:r>
    </w:p>
    <w:p w14:paraId="76B8914B">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_Toc31114 </w:instrText>
      </w:r>
      <w:r>
        <w:rPr>
          <w:rFonts w:eastAsia="黑体"/>
          <w:szCs w:val="24"/>
          <w:highlight w:val="none"/>
        </w:rPr>
        <w:fldChar w:fldCharType="separate"/>
      </w:r>
      <w:r>
        <w:rPr>
          <w:rFonts w:hint="eastAsia" w:ascii="宋体" w:hAnsi="Times New Roman" w:eastAsia="宋体" w:cs="Times New Roman"/>
          <w:bCs/>
          <w:lang w:val="en-US" w:eastAsia="zh-CN"/>
        </w:rPr>
        <w:t>第五章 合同条款及格式（另行提供）</w:t>
      </w:r>
      <w:r>
        <w:tab/>
      </w:r>
      <w:r>
        <w:fldChar w:fldCharType="begin"/>
      </w:r>
      <w:r>
        <w:instrText xml:space="preserve"> PAGEREF _Toc31114 \h </w:instrText>
      </w:r>
      <w:r>
        <w:fldChar w:fldCharType="separate"/>
      </w:r>
      <w:r>
        <w:t>42</w:t>
      </w:r>
      <w:r>
        <w:fldChar w:fldCharType="end"/>
      </w:r>
      <w:r>
        <w:rPr>
          <w:rFonts w:eastAsia="黑体"/>
          <w:szCs w:val="24"/>
          <w:highlight w:val="none"/>
        </w:rPr>
        <w:fldChar w:fldCharType="end"/>
      </w:r>
    </w:p>
    <w:p w14:paraId="46901BDB">
      <w:pPr>
        <w:pStyle w:val="16"/>
        <w:tabs>
          <w:tab w:val="right" w:leader="dot" w:pos="8504"/>
        </w:tabs>
      </w:pPr>
      <w:r>
        <w:rPr>
          <w:rFonts w:eastAsia="黑体"/>
          <w:szCs w:val="24"/>
          <w:highlight w:val="none"/>
        </w:rPr>
        <w:fldChar w:fldCharType="begin"/>
      </w:r>
      <w:r>
        <w:rPr>
          <w:rFonts w:eastAsia="黑体"/>
          <w:szCs w:val="24"/>
          <w:highlight w:val="none"/>
        </w:rPr>
        <w:instrText xml:space="preserve"> HYPERLINK \l _Toc2143 </w:instrText>
      </w:r>
      <w:r>
        <w:rPr>
          <w:rFonts w:eastAsia="黑体"/>
          <w:szCs w:val="24"/>
          <w:highlight w:val="none"/>
        </w:rPr>
        <w:fldChar w:fldCharType="separate"/>
      </w:r>
      <w:r>
        <w:rPr>
          <w:rFonts w:hint="eastAsia" w:ascii="宋体" w:hAnsi="Times New Roman" w:eastAsia="宋体" w:cs="Times New Roman"/>
          <w:bCs/>
          <w:lang w:val="en-US" w:eastAsia="zh-CN"/>
        </w:rPr>
        <w:t>第六章 响应文件格式</w:t>
      </w:r>
      <w:r>
        <w:tab/>
      </w:r>
      <w:r>
        <w:fldChar w:fldCharType="begin"/>
      </w:r>
      <w:r>
        <w:instrText xml:space="preserve"> PAGEREF _Toc2143 \h </w:instrText>
      </w:r>
      <w:r>
        <w:fldChar w:fldCharType="separate"/>
      </w:r>
      <w:r>
        <w:t>43</w:t>
      </w:r>
      <w:r>
        <w:fldChar w:fldCharType="end"/>
      </w:r>
      <w:r>
        <w:rPr>
          <w:rFonts w:eastAsia="黑体"/>
          <w:szCs w:val="24"/>
          <w:highlight w:val="none"/>
        </w:rPr>
        <w:fldChar w:fldCharType="end"/>
      </w:r>
    </w:p>
    <w:p w14:paraId="310CC153">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_Toc5783 </w:instrText>
      </w:r>
      <w:r>
        <w:rPr>
          <w:rFonts w:eastAsia="黑体"/>
          <w:szCs w:val="24"/>
          <w:highlight w:val="none"/>
        </w:rPr>
        <w:fldChar w:fldCharType="separate"/>
      </w:r>
      <w:r>
        <w:rPr>
          <w:rFonts w:hint="eastAsia" w:ascii="黑体" w:hAnsi="黑体" w:eastAsia="黑体"/>
          <w:szCs w:val="44"/>
          <w:highlight w:val="none"/>
          <w:lang w:eastAsia="zh-CN"/>
        </w:rPr>
        <w:t>响应</w:t>
      </w:r>
      <w:r>
        <w:rPr>
          <w:rFonts w:hint="eastAsia" w:ascii="黑体" w:hAnsi="黑体" w:eastAsia="黑体"/>
          <w:szCs w:val="44"/>
          <w:highlight w:val="none"/>
        </w:rPr>
        <w:t>文件</w:t>
      </w:r>
      <w:r>
        <w:tab/>
      </w:r>
      <w:r>
        <w:fldChar w:fldCharType="begin"/>
      </w:r>
      <w:r>
        <w:instrText xml:space="preserve"> PAGEREF _Toc5783 \h </w:instrText>
      </w:r>
      <w:r>
        <w:fldChar w:fldCharType="separate"/>
      </w:r>
      <w:r>
        <w:t>43</w:t>
      </w:r>
      <w:r>
        <w:fldChar w:fldCharType="end"/>
      </w:r>
      <w:r>
        <w:rPr>
          <w:rFonts w:eastAsia="黑体"/>
          <w:szCs w:val="24"/>
          <w:highlight w:val="none"/>
        </w:rPr>
        <w:fldChar w:fldCharType="end"/>
      </w:r>
    </w:p>
    <w:p w14:paraId="1863C725">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_Toc26489 </w:instrText>
      </w:r>
      <w:r>
        <w:rPr>
          <w:rFonts w:eastAsia="黑体"/>
          <w:szCs w:val="24"/>
          <w:highlight w:val="none"/>
        </w:rPr>
        <w:fldChar w:fldCharType="separate"/>
      </w:r>
      <w:r>
        <w:rPr>
          <w:rFonts w:hint="eastAsia" w:ascii="黑体" w:eastAsia="黑体"/>
          <w:szCs w:val="28"/>
          <w:highlight w:val="none"/>
        </w:rPr>
        <w:t>目  录</w:t>
      </w:r>
      <w:r>
        <w:tab/>
      </w:r>
      <w:r>
        <w:fldChar w:fldCharType="begin"/>
      </w:r>
      <w:r>
        <w:instrText xml:space="preserve"> PAGEREF _Toc26489 \h </w:instrText>
      </w:r>
      <w:r>
        <w:fldChar w:fldCharType="separate"/>
      </w:r>
      <w:r>
        <w:t>44</w:t>
      </w:r>
      <w:r>
        <w:fldChar w:fldCharType="end"/>
      </w:r>
      <w:r>
        <w:rPr>
          <w:rFonts w:eastAsia="黑体"/>
          <w:szCs w:val="24"/>
          <w:highlight w:val="none"/>
        </w:rPr>
        <w:fldChar w:fldCharType="end"/>
      </w:r>
    </w:p>
    <w:p w14:paraId="6E62BF68">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_Toc16163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一、开标一览表</w:t>
      </w:r>
      <w:r>
        <w:tab/>
      </w:r>
      <w:r>
        <w:fldChar w:fldCharType="begin"/>
      </w:r>
      <w:r>
        <w:instrText xml:space="preserve"> PAGEREF _Toc16163 \h </w:instrText>
      </w:r>
      <w:r>
        <w:fldChar w:fldCharType="separate"/>
      </w:r>
      <w:r>
        <w:t>45</w:t>
      </w:r>
      <w:r>
        <w:fldChar w:fldCharType="end"/>
      </w:r>
      <w:r>
        <w:rPr>
          <w:rFonts w:eastAsia="黑体"/>
          <w:szCs w:val="24"/>
          <w:highlight w:val="none"/>
        </w:rPr>
        <w:fldChar w:fldCharType="end"/>
      </w:r>
    </w:p>
    <w:p w14:paraId="1A1D7348">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_Toc25189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二、投标人基本情况表</w:t>
      </w:r>
      <w:r>
        <w:tab/>
      </w:r>
      <w:r>
        <w:fldChar w:fldCharType="begin"/>
      </w:r>
      <w:r>
        <w:instrText xml:space="preserve"> PAGEREF _Toc25189 \h </w:instrText>
      </w:r>
      <w:r>
        <w:fldChar w:fldCharType="separate"/>
      </w:r>
      <w:r>
        <w:t>46</w:t>
      </w:r>
      <w:r>
        <w:fldChar w:fldCharType="end"/>
      </w:r>
      <w:r>
        <w:rPr>
          <w:rFonts w:eastAsia="黑体"/>
          <w:szCs w:val="24"/>
          <w:highlight w:val="none"/>
        </w:rPr>
        <w:fldChar w:fldCharType="end"/>
      </w:r>
    </w:p>
    <w:p w14:paraId="1C6BE7DC">
      <w:pPr>
        <w:pStyle w:val="17"/>
        <w:tabs>
          <w:tab w:val="right" w:leader="dot" w:pos="8504"/>
        </w:tabs>
        <w:rPr>
          <w:rFonts w:hint="eastAsia" w:eastAsia="黑体"/>
          <w:lang w:val="en-US" w:eastAsia="zh-CN"/>
        </w:rPr>
      </w:pPr>
      <w:r>
        <w:rPr>
          <w:rFonts w:eastAsia="黑体"/>
          <w:szCs w:val="24"/>
          <w:highlight w:val="none"/>
        </w:rPr>
        <w:fldChar w:fldCharType="begin"/>
      </w:r>
      <w:r>
        <w:rPr>
          <w:rFonts w:eastAsia="黑体"/>
          <w:szCs w:val="24"/>
          <w:highlight w:val="none"/>
        </w:rPr>
        <w:instrText xml:space="preserve"> HYPERLINK \l _Toc7763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三、投标函</w:t>
      </w:r>
      <w:r>
        <w:tab/>
      </w:r>
      <w:r>
        <w:rPr>
          <w:rFonts w:hint="eastAsia"/>
          <w:lang w:val="en-US" w:eastAsia="zh-CN"/>
        </w:rPr>
        <w:t>3</w:t>
      </w:r>
      <w:r>
        <w:rPr>
          <w:rFonts w:eastAsia="黑体"/>
          <w:szCs w:val="24"/>
          <w:highlight w:val="none"/>
        </w:rPr>
        <w:fldChar w:fldCharType="end"/>
      </w:r>
      <w:r>
        <w:rPr>
          <w:rFonts w:hint="eastAsia" w:eastAsia="黑体"/>
          <w:szCs w:val="24"/>
          <w:highlight w:val="none"/>
          <w:lang w:val="en-US" w:eastAsia="zh-CN"/>
        </w:rPr>
        <w:t>4</w:t>
      </w:r>
    </w:p>
    <w:p w14:paraId="459B2E4C">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_Toc19481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五、投标人信用承诺</w:t>
      </w:r>
      <w:r>
        <w:tab/>
      </w:r>
      <w:r>
        <w:fldChar w:fldCharType="begin"/>
      </w:r>
      <w:r>
        <w:instrText xml:space="preserve"> PAGEREF _Toc19481 \h </w:instrText>
      </w:r>
      <w:r>
        <w:fldChar w:fldCharType="separate"/>
      </w:r>
      <w:r>
        <w:t>52</w:t>
      </w:r>
      <w:r>
        <w:fldChar w:fldCharType="end"/>
      </w:r>
      <w:r>
        <w:rPr>
          <w:rFonts w:eastAsia="黑体"/>
          <w:szCs w:val="24"/>
          <w:highlight w:val="none"/>
        </w:rPr>
        <w:fldChar w:fldCharType="end"/>
      </w:r>
    </w:p>
    <w:p w14:paraId="13736DA0">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_Toc26115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六、投标人业绩</w:t>
      </w:r>
      <w:r>
        <w:tab/>
      </w:r>
      <w:r>
        <w:fldChar w:fldCharType="begin"/>
      </w:r>
      <w:r>
        <w:instrText xml:space="preserve"> PAGEREF _Toc26115 \h </w:instrText>
      </w:r>
      <w:r>
        <w:fldChar w:fldCharType="separate"/>
      </w:r>
      <w:r>
        <w:t>53</w:t>
      </w:r>
      <w:r>
        <w:fldChar w:fldCharType="end"/>
      </w:r>
      <w:r>
        <w:rPr>
          <w:rFonts w:eastAsia="黑体"/>
          <w:szCs w:val="24"/>
          <w:highlight w:val="none"/>
        </w:rPr>
        <w:fldChar w:fldCharType="end"/>
      </w:r>
    </w:p>
    <w:p w14:paraId="68EB185C">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_Toc5825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七、奖项、荣誉（如有）</w:t>
      </w:r>
      <w:r>
        <w:tab/>
      </w:r>
      <w:r>
        <w:fldChar w:fldCharType="begin"/>
      </w:r>
      <w:r>
        <w:instrText xml:space="preserve"> PAGEREF _Toc5825 \h </w:instrText>
      </w:r>
      <w:r>
        <w:fldChar w:fldCharType="separate"/>
      </w:r>
      <w:r>
        <w:t>54</w:t>
      </w:r>
      <w:r>
        <w:fldChar w:fldCharType="end"/>
      </w:r>
      <w:r>
        <w:rPr>
          <w:rFonts w:eastAsia="黑体"/>
          <w:szCs w:val="24"/>
          <w:highlight w:val="none"/>
        </w:rPr>
        <w:fldChar w:fldCharType="end"/>
      </w:r>
    </w:p>
    <w:p w14:paraId="3EC8B54A">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_Toc4230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八、项目管理机构</w:t>
      </w:r>
      <w:r>
        <w:tab/>
      </w:r>
      <w:r>
        <w:fldChar w:fldCharType="begin"/>
      </w:r>
      <w:r>
        <w:instrText xml:space="preserve"> PAGEREF _Toc4230 \h </w:instrText>
      </w:r>
      <w:r>
        <w:fldChar w:fldCharType="separate"/>
      </w:r>
      <w:r>
        <w:t>55</w:t>
      </w:r>
      <w:r>
        <w:fldChar w:fldCharType="end"/>
      </w:r>
      <w:r>
        <w:rPr>
          <w:rFonts w:eastAsia="黑体"/>
          <w:szCs w:val="24"/>
          <w:highlight w:val="none"/>
        </w:rPr>
        <w:fldChar w:fldCharType="end"/>
      </w:r>
    </w:p>
    <w:p w14:paraId="75637955">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_Toc10474 </w:instrText>
      </w:r>
      <w:r>
        <w:rPr>
          <w:rFonts w:eastAsia="黑体"/>
          <w:szCs w:val="24"/>
          <w:highlight w:val="none"/>
        </w:rPr>
        <w:fldChar w:fldCharType="separate"/>
      </w:r>
      <w:r>
        <w:rPr>
          <w:rFonts w:hint="eastAsia" w:ascii="宋体" w:hAnsi="宋体" w:eastAsia="宋体" w:cs="宋体"/>
          <w:bCs/>
          <w:spacing w:val="-2"/>
          <w:szCs w:val="24"/>
          <w:lang w:val="en-US" w:eastAsia="zh-CN"/>
        </w:rPr>
        <w:t>九、后期服务方案</w:t>
      </w:r>
      <w:r>
        <w:tab/>
      </w:r>
      <w:r>
        <w:fldChar w:fldCharType="begin"/>
      </w:r>
      <w:r>
        <w:instrText xml:space="preserve"> PAGEREF _Toc10474 \h </w:instrText>
      </w:r>
      <w:r>
        <w:fldChar w:fldCharType="separate"/>
      </w:r>
      <w:r>
        <w:t>56</w:t>
      </w:r>
      <w:r>
        <w:fldChar w:fldCharType="end"/>
      </w:r>
      <w:r>
        <w:rPr>
          <w:rFonts w:eastAsia="黑体"/>
          <w:szCs w:val="24"/>
          <w:highlight w:val="none"/>
        </w:rPr>
        <w:fldChar w:fldCharType="end"/>
      </w:r>
    </w:p>
    <w:p w14:paraId="06A7B323">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_Toc4500 </w:instrText>
      </w:r>
      <w:r>
        <w:rPr>
          <w:rFonts w:eastAsia="黑体"/>
          <w:szCs w:val="24"/>
          <w:highlight w:val="none"/>
        </w:rPr>
        <w:fldChar w:fldCharType="separate"/>
      </w:r>
      <w:r>
        <w:rPr>
          <w:rFonts w:hint="eastAsia" w:ascii="宋体" w:hAnsi="宋体" w:eastAsia="宋体" w:cs="宋体"/>
          <w:bCs/>
          <w:spacing w:val="-2"/>
          <w:szCs w:val="24"/>
          <w:lang w:val="en-US" w:eastAsia="zh-CN"/>
        </w:rPr>
        <w:t>十、</w:t>
      </w:r>
      <w:r>
        <w:rPr>
          <w:rFonts w:hint="eastAsia" w:ascii="宋体" w:hAnsi="宋体" w:cs="宋体"/>
          <w:bCs/>
          <w:spacing w:val="-2"/>
          <w:szCs w:val="24"/>
          <w:lang w:val="en-US" w:eastAsia="zh-CN"/>
        </w:rPr>
        <w:t>营业执照</w:t>
      </w:r>
      <w:r>
        <w:tab/>
      </w:r>
      <w:r>
        <w:fldChar w:fldCharType="begin"/>
      </w:r>
      <w:r>
        <w:instrText xml:space="preserve"> PAGEREF _Toc4500 \h </w:instrText>
      </w:r>
      <w:r>
        <w:fldChar w:fldCharType="separate"/>
      </w:r>
      <w:r>
        <w:t>56</w:t>
      </w:r>
      <w:r>
        <w:fldChar w:fldCharType="end"/>
      </w:r>
      <w:r>
        <w:rPr>
          <w:rFonts w:eastAsia="黑体"/>
          <w:szCs w:val="24"/>
          <w:highlight w:val="none"/>
        </w:rPr>
        <w:fldChar w:fldCharType="end"/>
      </w:r>
    </w:p>
    <w:p w14:paraId="791E59A3">
      <w:pPr>
        <w:pStyle w:val="17"/>
        <w:tabs>
          <w:tab w:val="right" w:leader="dot" w:pos="8504"/>
        </w:tabs>
      </w:pPr>
      <w:r>
        <w:rPr>
          <w:rFonts w:eastAsia="黑体"/>
          <w:szCs w:val="24"/>
          <w:highlight w:val="none"/>
        </w:rPr>
        <w:fldChar w:fldCharType="begin"/>
      </w:r>
      <w:r>
        <w:rPr>
          <w:rFonts w:eastAsia="黑体"/>
          <w:szCs w:val="24"/>
          <w:highlight w:val="none"/>
        </w:rPr>
        <w:instrText xml:space="preserve"> HYPERLINK \l _Toc14666 </w:instrText>
      </w:r>
      <w:r>
        <w:rPr>
          <w:rFonts w:eastAsia="黑体"/>
          <w:szCs w:val="24"/>
          <w:highlight w:val="none"/>
        </w:rPr>
        <w:fldChar w:fldCharType="separate"/>
      </w:r>
      <w:r>
        <w:rPr>
          <w:rFonts w:hint="eastAsia" w:ascii="宋体" w:hAnsi="宋体" w:eastAsia="宋体" w:cs="宋体"/>
          <w:bCs/>
          <w:spacing w:val="-2"/>
          <w:szCs w:val="24"/>
          <w:lang w:val="en-US" w:eastAsia="zh-CN"/>
        </w:rPr>
        <w:t>十</w:t>
      </w:r>
      <w:r>
        <w:rPr>
          <w:rFonts w:hint="eastAsia" w:ascii="宋体" w:hAnsi="宋体" w:cs="宋体"/>
          <w:bCs/>
          <w:spacing w:val="-2"/>
          <w:szCs w:val="24"/>
          <w:lang w:val="en-US" w:eastAsia="zh-CN"/>
        </w:rPr>
        <w:t>一</w:t>
      </w:r>
      <w:r>
        <w:rPr>
          <w:rFonts w:hint="eastAsia" w:ascii="宋体" w:hAnsi="宋体" w:eastAsia="宋体" w:cs="宋体"/>
          <w:bCs/>
          <w:spacing w:val="-2"/>
          <w:szCs w:val="24"/>
          <w:lang w:val="en-US" w:eastAsia="zh-CN"/>
        </w:rPr>
        <w:t>、其他资料</w:t>
      </w:r>
      <w:r>
        <w:tab/>
      </w:r>
      <w:r>
        <w:fldChar w:fldCharType="begin"/>
      </w:r>
      <w:r>
        <w:instrText xml:space="preserve"> PAGEREF _Toc14666 \h </w:instrText>
      </w:r>
      <w:r>
        <w:fldChar w:fldCharType="separate"/>
      </w:r>
      <w:r>
        <w:t>56</w:t>
      </w:r>
      <w:r>
        <w:fldChar w:fldCharType="end"/>
      </w:r>
      <w:r>
        <w:rPr>
          <w:rFonts w:eastAsia="黑体"/>
          <w:szCs w:val="24"/>
          <w:highlight w:val="none"/>
        </w:rPr>
        <w:fldChar w:fldCharType="end"/>
      </w:r>
    </w:p>
    <w:p w14:paraId="5EC4CB15">
      <w:pPr>
        <w:spacing w:line="360" w:lineRule="auto"/>
        <w:ind w:firstLine="435"/>
        <w:jc w:val="center"/>
        <w:rPr>
          <w:rFonts w:hint="eastAsia"/>
          <w:highlight w:val="none"/>
        </w:rPr>
      </w:pPr>
      <w:r>
        <w:rPr>
          <w:rFonts w:eastAsia="黑体"/>
          <w:szCs w:val="24"/>
          <w:highlight w:val="none"/>
        </w:rPr>
        <w:fldChar w:fldCharType="end"/>
      </w:r>
    </w:p>
    <w:p w14:paraId="12FFABC3">
      <w:pPr>
        <w:pStyle w:val="3"/>
        <w:numPr>
          <w:ilvl w:val="0"/>
          <w:numId w:val="1"/>
        </w:numPr>
        <w:ind w:firstLine="420"/>
        <w:jc w:val="center"/>
        <w:rPr>
          <w:b w:val="0"/>
          <w:color w:val="auto"/>
          <w:sz w:val="36"/>
          <w:szCs w:val="21"/>
          <w:highlight w:val="none"/>
        </w:rPr>
      </w:pPr>
      <w:r>
        <w:rPr>
          <w:highlight w:val="none"/>
        </w:rPr>
        <w:br w:type="page"/>
      </w:r>
      <w:bookmarkStart w:id="0" w:name="_Toc50128746"/>
      <w:bookmarkStart w:id="1" w:name="_Toc462215727"/>
      <w:r>
        <w:rPr>
          <w:rFonts w:hint="eastAsia"/>
          <w:color w:val="auto"/>
          <w:sz w:val="36"/>
          <w:szCs w:val="20"/>
          <w:highlight w:val="none"/>
        </w:rPr>
        <w:t xml:space="preserve"> </w:t>
      </w:r>
      <w:bookmarkStart w:id="2" w:name="_Toc4378"/>
      <w:r>
        <w:rPr>
          <w:rFonts w:hint="eastAsia"/>
          <w:color w:val="auto"/>
          <w:sz w:val="36"/>
          <w:szCs w:val="20"/>
          <w:highlight w:val="none"/>
        </w:rPr>
        <w:t>磋商邀请（磋商公告）</w:t>
      </w:r>
      <w:bookmarkEnd w:id="0"/>
      <w:bookmarkEnd w:id="1"/>
      <w:bookmarkEnd w:id="2"/>
    </w:p>
    <w:p w14:paraId="5332552E">
      <w:pPr>
        <w:pStyle w:val="27"/>
        <w:widowControl w:val="0"/>
        <w:autoSpaceDE w:val="0"/>
        <w:autoSpaceDN w:val="0"/>
        <w:adjustRightInd w:val="0"/>
        <w:spacing w:before="0" w:after="0" w:line="360" w:lineRule="auto"/>
        <w:rPr>
          <w:rFonts w:hint="eastAsia" w:ascii="宋体" w:hAnsi="宋体" w:eastAsia="宋体"/>
          <w:color w:val="auto"/>
          <w:kern w:val="2"/>
          <w:u w:val="none"/>
        </w:rPr>
      </w:pPr>
      <w:r>
        <w:rPr>
          <w:rFonts w:hint="eastAsia" w:ascii="宋体" w:hAnsi="宋体" w:eastAsia="宋体"/>
          <w:color w:val="auto"/>
          <w:kern w:val="2"/>
          <w:u w:val="none"/>
          <w:lang w:eastAsia="zh-CN"/>
        </w:rPr>
        <w:t>本项目</w:t>
      </w:r>
      <w:r>
        <w:rPr>
          <w:rFonts w:hint="eastAsia" w:ascii="宋体" w:hAnsi="宋体" w:eastAsia="宋体"/>
          <w:color w:val="auto"/>
          <w:kern w:val="2"/>
          <w:u w:val="single"/>
          <w:lang w:val="en-US" w:eastAsia="zh-CN"/>
        </w:rPr>
        <w:t>合肥庐阳城市资源经营管理有限公司安庆海棠花园小区电梯维保服务</w:t>
      </w:r>
      <w:r>
        <w:rPr>
          <w:rFonts w:hint="eastAsia" w:ascii="宋体" w:hAnsi="宋体" w:eastAsia="宋体" w:cs="Times New Roman"/>
          <w:color w:val="auto"/>
          <w:kern w:val="2"/>
          <w:u w:val="none"/>
          <w:lang w:val="en-US" w:eastAsia="zh-CN"/>
        </w:rPr>
        <w:t>已具备竞争性磋商条件，采购人为</w:t>
      </w:r>
      <w:r>
        <w:rPr>
          <w:rFonts w:hint="eastAsia" w:ascii="宋体" w:hAnsi="宋体" w:eastAsia="宋体" w:cs="Times New Roman"/>
          <w:color w:val="auto"/>
          <w:kern w:val="2"/>
          <w:u w:val="single"/>
          <w:lang w:val="en-US" w:eastAsia="zh-CN"/>
        </w:rPr>
        <w:t xml:space="preserve">  合肥庐阳城市资源经营管理有限公司 </w:t>
      </w:r>
      <w:r>
        <w:rPr>
          <w:rFonts w:hint="eastAsia" w:ascii="宋体" w:hAnsi="宋体" w:eastAsia="宋体"/>
          <w:color w:val="auto"/>
          <w:kern w:val="2"/>
          <w:u w:val="none"/>
        </w:rPr>
        <w:t>，现对</w:t>
      </w:r>
      <w:r>
        <w:rPr>
          <w:rFonts w:hint="eastAsia" w:ascii="宋体" w:hAnsi="宋体" w:eastAsia="宋体"/>
          <w:color w:val="auto"/>
          <w:kern w:val="2"/>
          <w:u w:val="none"/>
          <w:lang w:eastAsia="zh-CN"/>
        </w:rPr>
        <w:t>该项目</w:t>
      </w:r>
      <w:r>
        <w:rPr>
          <w:rFonts w:hint="eastAsia" w:ascii="宋体" w:hAnsi="宋体" w:eastAsia="宋体"/>
          <w:color w:val="auto"/>
          <w:kern w:val="2"/>
          <w:u w:val="none"/>
        </w:rPr>
        <w:t>进行竞争性磋商，欢迎具备条件的国内</w:t>
      </w:r>
      <w:r>
        <w:rPr>
          <w:rFonts w:hint="eastAsia" w:ascii="宋体" w:hAnsi="宋体" w:eastAsia="宋体"/>
          <w:color w:val="auto"/>
          <w:kern w:val="2"/>
          <w:u w:val="none"/>
          <w:lang w:val="en-US" w:eastAsia="zh-CN"/>
        </w:rPr>
        <w:t>意向单位</w:t>
      </w:r>
      <w:r>
        <w:rPr>
          <w:rFonts w:hint="eastAsia" w:ascii="宋体" w:hAnsi="宋体" w:eastAsia="宋体"/>
          <w:color w:val="auto"/>
          <w:kern w:val="2"/>
          <w:u w:val="none"/>
        </w:rPr>
        <w:t>参加磋商。</w:t>
      </w:r>
    </w:p>
    <w:p w14:paraId="0D4480A4">
      <w:pPr>
        <w:autoSpaceDE w:val="0"/>
        <w:autoSpaceDN w:val="0"/>
        <w:adjustRightInd w:val="0"/>
        <w:spacing w:line="360" w:lineRule="auto"/>
        <w:ind w:firstLine="200"/>
        <w:jc w:val="left"/>
        <w:rPr>
          <w:rFonts w:hint="eastAsia" w:ascii="宋体" w:hAnsi="宋体"/>
          <w:b/>
          <w:bCs/>
          <w:color w:val="auto"/>
          <w:sz w:val="24"/>
          <w:szCs w:val="24"/>
          <w:highlight w:val="none"/>
          <w:u w:val="none"/>
        </w:rPr>
      </w:pPr>
      <w:r>
        <w:rPr>
          <w:rFonts w:hint="eastAsia" w:ascii="宋体" w:hAnsi="宋体"/>
          <w:b/>
          <w:bCs/>
          <w:color w:val="auto"/>
          <w:sz w:val="24"/>
          <w:szCs w:val="24"/>
          <w:u w:val="none"/>
        </w:rPr>
        <w:t>一、</w:t>
      </w:r>
      <w:r>
        <w:rPr>
          <w:rFonts w:hint="eastAsia" w:ascii="宋体" w:hAnsi="宋体"/>
          <w:b/>
          <w:bCs/>
          <w:color w:val="auto"/>
          <w:sz w:val="24"/>
          <w:szCs w:val="24"/>
          <w:highlight w:val="none"/>
          <w:u w:val="none"/>
        </w:rPr>
        <w:t>项目名称及内容</w:t>
      </w:r>
    </w:p>
    <w:p w14:paraId="157EC34D">
      <w:pPr>
        <w:autoSpaceDE w:val="0"/>
        <w:autoSpaceDN w:val="0"/>
        <w:adjustRightInd w:val="0"/>
        <w:spacing w:line="360" w:lineRule="auto"/>
        <w:ind w:firstLine="200"/>
        <w:jc w:val="left"/>
        <w:rPr>
          <w:rFonts w:hint="eastAsia" w:ascii="宋体" w:hAnsi="宋体"/>
          <w:color w:val="auto"/>
          <w:sz w:val="24"/>
          <w:szCs w:val="24"/>
          <w:u w:val="none"/>
          <w:lang w:eastAsia="zh-CN"/>
        </w:rPr>
      </w:pPr>
      <w:r>
        <w:rPr>
          <w:rFonts w:hint="eastAsia" w:ascii="宋体" w:hAnsi="宋体"/>
          <w:color w:val="auto"/>
          <w:sz w:val="24"/>
          <w:szCs w:val="24"/>
          <w:u w:val="none"/>
          <w:lang w:val="en-US" w:eastAsia="zh-CN"/>
        </w:rPr>
        <w:t>1</w:t>
      </w:r>
      <w:r>
        <w:rPr>
          <w:rFonts w:hint="eastAsia" w:ascii="宋体" w:hAnsi="宋体"/>
          <w:color w:val="auto"/>
          <w:sz w:val="24"/>
          <w:szCs w:val="24"/>
          <w:u w:val="none"/>
        </w:rPr>
        <w:t>.项目名称：</w:t>
      </w:r>
      <w:r>
        <w:rPr>
          <w:rFonts w:hint="eastAsia" w:ascii="宋体" w:hAnsi="宋体"/>
          <w:color w:val="auto"/>
          <w:sz w:val="24"/>
          <w:szCs w:val="24"/>
          <w:u w:val="none"/>
          <w:lang w:eastAsia="zh-CN"/>
        </w:rPr>
        <w:t>合肥庐阳城市资源经营管理有限公司安庆海棠花园小区电梯维保服务</w:t>
      </w:r>
    </w:p>
    <w:p w14:paraId="79476A18">
      <w:pPr>
        <w:autoSpaceDE w:val="0"/>
        <w:autoSpaceDN w:val="0"/>
        <w:adjustRightInd w:val="0"/>
        <w:spacing w:line="360" w:lineRule="auto"/>
        <w:ind w:firstLine="200"/>
        <w:jc w:val="left"/>
        <w:rPr>
          <w:rFonts w:hint="eastAsia" w:ascii="宋体" w:hAnsi="宋体"/>
          <w:color w:val="auto"/>
          <w:sz w:val="24"/>
          <w:szCs w:val="18"/>
          <w:u w:val="none"/>
          <w:lang w:val="en-US" w:eastAsia="zh-CN"/>
        </w:rPr>
      </w:pPr>
      <w:r>
        <w:rPr>
          <w:rFonts w:hint="eastAsia" w:ascii="宋体" w:hAnsi="宋体"/>
          <w:color w:val="auto"/>
          <w:sz w:val="24"/>
          <w:szCs w:val="24"/>
          <w:u w:val="none"/>
          <w:lang w:val="en-US" w:eastAsia="zh-CN"/>
        </w:rPr>
        <w:t>2</w:t>
      </w:r>
      <w:r>
        <w:rPr>
          <w:rFonts w:hint="eastAsia" w:ascii="宋体" w:hAnsi="宋体"/>
          <w:color w:val="auto"/>
          <w:sz w:val="24"/>
          <w:szCs w:val="24"/>
          <w:u w:val="none"/>
        </w:rPr>
        <w:t>.项目地点：</w:t>
      </w:r>
      <w:r>
        <w:rPr>
          <w:rFonts w:hint="eastAsia" w:ascii="宋体" w:hAnsi="宋体"/>
          <w:color w:val="auto"/>
          <w:sz w:val="24"/>
          <w:szCs w:val="18"/>
          <w:u w:val="none"/>
        </w:rPr>
        <w:t>安徽省</w:t>
      </w:r>
      <w:r>
        <w:rPr>
          <w:rFonts w:hint="eastAsia" w:ascii="宋体" w:hAnsi="宋体"/>
          <w:color w:val="auto"/>
          <w:sz w:val="24"/>
          <w:szCs w:val="18"/>
          <w:u w:val="none"/>
          <w:lang w:val="en-US" w:eastAsia="zh-CN"/>
        </w:rPr>
        <w:t>安庆市</w:t>
      </w:r>
    </w:p>
    <w:p w14:paraId="0E82DB78">
      <w:pPr>
        <w:autoSpaceDE w:val="0"/>
        <w:autoSpaceDN w:val="0"/>
        <w:adjustRightInd w:val="0"/>
        <w:spacing w:line="360" w:lineRule="auto"/>
        <w:ind w:firstLine="200"/>
        <w:jc w:val="left"/>
        <w:rPr>
          <w:rFonts w:hint="eastAsia" w:ascii="宋体" w:hAnsi="宋体"/>
          <w:color w:val="auto"/>
          <w:sz w:val="24"/>
          <w:szCs w:val="24"/>
          <w:u w:val="none"/>
          <w:lang w:eastAsia="zh-CN"/>
        </w:rPr>
      </w:pPr>
      <w:r>
        <w:rPr>
          <w:rFonts w:hint="eastAsia" w:ascii="宋体" w:hAnsi="宋体"/>
          <w:color w:val="auto"/>
          <w:sz w:val="24"/>
          <w:szCs w:val="24"/>
          <w:u w:val="none"/>
          <w:lang w:val="en-US" w:eastAsia="zh-CN"/>
        </w:rPr>
        <w:t>3</w:t>
      </w:r>
      <w:r>
        <w:rPr>
          <w:rFonts w:hint="eastAsia" w:ascii="宋体" w:hAnsi="宋体"/>
          <w:color w:val="auto"/>
          <w:sz w:val="24"/>
          <w:szCs w:val="24"/>
          <w:u w:val="none"/>
        </w:rPr>
        <w:t>.项目单位：</w:t>
      </w:r>
      <w:r>
        <w:rPr>
          <w:rFonts w:hint="eastAsia" w:ascii="宋体" w:hAnsi="宋体"/>
          <w:color w:val="auto"/>
          <w:sz w:val="24"/>
          <w:szCs w:val="24"/>
          <w:u w:val="none"/>
          <w:lang w:eastAsia="zh-CN"/>
        </w:rPr>
        <w:t>合肥庐阳城市资源经营管理有限公司</w:t>
      </w:r>
    </w:p>
    <w:p w14:paraId="28F66377">
      <w:pPr>
        <w:autoSpaceDE w:val="0"/>
        <w:autoSpaceDN w:val="0"/>
        <w:adjustRightInd w:val="0"/>
        <w:spacing w:line="360" w:lineRule="auto"/>
        <w:ind w:firstLine="200"/>
        <w:jc w:val="left"/>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u w:val="none"/>
          <w:lang w:val="en-US" w:eastAsia="zh-CN"/>
        </w:rPr>
        <w:t>4</w:t>
      </w:r>
      <w:r>
        <w:rPr>
          <w:rFonts w:hint="eastAsia" w:ascii="宋体" w:hAnsi="宋体"/>
          <w:color w:val="auto"/>
          <w:sz w:val="24"/>
          <w:szCs w:val="24"/>
          <w:highlight w:val="none"/>
          <w:u w:val="none"/>
        </w:rPr>
        <w:t>.资金来源：自筹</w:t>
      </w:r>
      <w:r>
        <w:rPr>
          <w:rFonts w:hint="eastAsia" w:ascii="宋体" w:hAnsi="宋体"/>
          <w:color w:val="auto"/>
          <w:sz w:val="24"/>
          <w:szCs w:val="24"/>
          <w:highlight w:val="none"/>
          <w:u w:val="none"/>
          <w:lang w:val="en-US" w:eastAsia="zh-CN"/>
        </w:rPr>
        <w:t xml:space="preserve"> </w:t>
      </w:r>
    </w:p>
    <w:p w14:paraId="71D029EB">
      <w:pPr>
        <w:numPr>
          <w:ilvl w:val="0"/>
          <w:numId w:val="0"/>
        </w:numPr>
        <w:spacing w:line="360" w:lineRule="auto"/>
        <w:ind w:firstLine="240" w:firstLineChars="100"/>
        <w:jc w:val="left"/>
        <w:rPr>
          <w:rFonts w:hint="default" w:ascii="宋体" w:hAnsi="宋体"/>
          <w:color w:val="auto"/>
          <w:sz w:val="24"/>
          <w:szCs w:val="24"/>
          <w:u w:val="none"/>
          <w:lang w:val="en-US" w:eastAsia="zh-CN"/>
        </w:rPr>
      </w:pP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u w:val="none"/>
        </w:rPr>
        <w:t>.项目</w:t>
      </w:r>
      <w:r>
        <w:rPr>
          <w:rFonts w:hint="eastAsia" w:ascii="宋体" w:hAnsi="宋体"/>
          <w:color w:val="auto"/>
          <w:sz w:val="24"/>
          <w:szCs w:val="24"/>
          <w:highlight w:val="none"/>
          <w:u w:val="none"/>
          <w:lang w:val="en-US" w:eastAsia="zh-CN"/>
        </w:rPr>
        <w:t>概算</w:t>
      </w:r>
      <w:r>
        <w:rPr>
          <w:rFonts w:hint="eastAsia" w:ascii="宋体" w:hAnsi="宋体"/>
          <w:color w:val="auto"/>
          <w:sz w:val="24"/>
          <w:szCs w:val="24"/>
          <w:highlight w:val="none"/>
          <w:u w:val="none"/>
        </w:rPr>
        <w:t>：</w:t>
      </w:r>
      <w:r>
        <w:rPr>
          <w:rFonts w:hint="eastAsia" w:ascii="宋体" w:hAnsi="宋体"/>
          <w:color w:val="auto"/>
          <w:sz w:val="24"/>
          <w:szCs w:val="24"/>
          <w:u w:val="none"/>
          <w:lang w:val="en-US" w:eastAsia="zh-CN"/>
        </w:rPr>
        <w:t>76960元/年</w:t>
      </w:r>
    </w:p>
    <w:p w14:paraId="60727966">
      <w:pPr>
        <w:numPr>
          <w:ilvl w:val="0"/>
          <w:numId w:val="0"/>
        </w:numPr>
        <w:spacing w:line="360" w:lineRule="auto"/>
        <w:ind w:firstLine="240" w:firstLineChars="100"/>
        <w:jc w:val="left"/>
        <w:rPr>
          <w:rFonts w:hint="default" w:ascii="宋体" w:hAnsi="宋体"/>
          <w:color w:val="auto"/>
          <w:sz w:val="24"/>
          <w:szCs w:val="24"/>
          <w:highlight w:val="none"/>
          <w:u w:val="none"/>
          <w:lang w:val="en-US"/>
        </w:rPr>
      </w:pPr>
      <w:r>
        <w:rPr>
          <w:rFonts w:hint="eastAsia" w:ascii="宋体" w:hAnsi="宋体"/>
          <w:color w:val="auto"/>
          <w:sz w:val="24"/>
          <w:szCs w:val="24"/>
          <w:highlight w:val="none"/>
          <w:u w:val="none"/>
          <w:lang w:val="en-US" w:eastAsia="zh-CN"/>
        </w:rPr>
        <w:t>6.报价方式：总价报价</w:t>
      </w:r>
    </w:p>
    <w:p w14:paraId="5C736D1C">
      <w:pPr>
        <w:autoSpaceDE w:val="0"/>
        <w:autoSpaceDN w:val="0"/>
        <w:adjustRightInd w:val="0"/>
        <w:spacing w:line="360" w:lineRule="auto"/>
        <w:ind w:firstLine="200"/>
        <w:jc w:val="left"/>
        <w:rPr>
          <w:rFonts w:hint="default"/>
          <w:color w:val="auto"/>
          <w:lang w:val="en-US" w:eastAsia="zh-CN"/>
        </w:rPr>
      </w:pPr>
      <w:r>
        <w:rPr>
          <w:rFonts w:hint="eastAsia" w:ascii="宋体" w:hAnsi="宋体"/>
          <w:color w:val="auto"/>
          <w:sz w:val="24"/>
          <w:szCs w:val="24"/>
          <w:u w:val="none"/>
          <w:lang w:val="en-US" w:eastAsia="zh-CN"/>
        </w:rPr>
        <w:t>7</w:t>
      </w:r>
      <w:r>
        <w:rPr>
          <w:rFonts w:hint="eastAsia" w:ascii="宋体" w:hAnsi="宋体"/>
          <w:color w:val="auto"/>
          <w:sz w:val="24"/>
          <w:szCs w:val="24"/>
          <w:u w:val="none"/>
        </w:rPr>
        <w:t>.项目类别：</w:t>
      </w:r>
      <w:r>
        <w:rPr>
          <w:rFonts w:hint="eastAsia" w:ascii="宋体" w:hAnsi="宋体"/>
          <w:color w:val="auto"/>
          <w:sz w:val="24"/>
          <w:szCs w:val="24"/>
          <w:u w:val="none"/>
          <w:lang w:val="en-US" w:eastAsia="zh-CN"/>
        </w:rPr>
        <w:t>服务类</w:t>
      </w:r>
    </w:p>
    <w:p w14:paraId="38EBDD1B">
      <w:pPr>
        <w:autoSpaceDE w:val="0"/>
        <w:autoSpaceDN w:val="0"/>
        <w:adjustRightInd w:val="0"/>
        <w:spacing w:line="360" w:lineRule="auto"/>
        <w:ind w:firstLine="200"/>
        <w:jc w:val="left"/>
        <w:rPr>
          <w:rFonts w:hint="eastAsia" w:ascii="宋体" w:hAnsi="宋体" w:eastAsia="宋体"/>
          <w:color w:val="auto"/>
          <w:sz w:val="24"/>
          <w:szCs w:val="24"/>
          <w:u w:val="none"/>
          <w:lang w:eastAsia="zh-CN"/>
        </w:rPr>
      </w:pPr>
      <w:r>
        <w:rPr>
          <w:rFonts w:hint="eastAsia" w:ascii="宋体" w:hAnsi="宋体"/>
          <w:color w:val="auto"/>
          <w:sz w:val="24"/>
          <w:szCs w:val="24"/>
          <w:u w:val="none"/>
          <w:lang w:val="en-US" w:eastAsia="zh-CN"/>
        </w:rPr>
        <w:t>8</w:t>
      </w:r>
      <w:r>
        <w:rPr>
          <w:rFonts w:hint="eastAsia" w:ascii="宋体" w:hAnsi="宋体"/>
          <w:color w:val="auto"/>
          <w:sz w:val="24"/>
          <w:szCs w:val="24"/>
          <w:u w:val="none"/>
        </w:rPr>
        <w:t>.标段（包别）划分：</w:t>
      </w:r>
      <w:r>
        <w:rPr>
          <w:rFonts w:hint="eastAsia" w:ascii="宋体" w:hAnsi="宋体"/>
          <w:color w:val="auto"/>
          <w:sz w:val="24"/>
          <w:szCs w:val="24"/>
          <w:u w:val="none"/>
          <w:lang w:eastAsia="zh-CN"/>
        </w:rPr>
        <w:t>不分包</w:t>
      </w:r>
    </w:p>
    <w:p w14:paraId="519740A0">
      <w:pPr>
        <w:autoSpaceDE w:val="0"/>
        <w:autoSpaceDN w:val="0"/>
        <w:adjustRightInd w:val="0"/>
        <w:spacing w:line="360" w:lineRule="auto"/>
        <w:ind w:firstLine="200"/>
        <w:jc w:val="left"/>
        <w:rPr>
          <w:rFonts w:hint="eastAsia" w:ascii="宋体" w:hAnsi="宋体"/>
          <w:b/>
          <w:bCs/>
          <w:color w:val="auto"/>
          <w:sz w:val="24"/>
          <w:szCs w:val="24"/>
          <w:u w:val="none"/>
        </w:rPr>
      </w:pPr>
      <w:r>
        <w:rPr>
          <w:rFonts w:hint="eastAsia" w:ascii="宋体" w:hAnsi="宋体"/>
          <w:b/>
          <w:bCs/>
          <w:color w:val="auto"/>
          <w:sz w:val="24"/>
          <w:szCs w:val="24"/>
          <w:u w:val="none"/>
        </w:rPr>
        <w:t>二、投标人资格</w:t>
      </w:r>
    </w:p>
    <w:p w14:paraId="01CE95CC">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1、投标人具有有效的营业执照，能够独立承担民事责任的能力；</w:t>
      </w:r>
    </w:p>
    <w:p w14:paraId="0387E7CA">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2、本项目不接受联合体投标；</w:t>
      </w:r>
    </w:p>
    <w:p w14:paraId="2B0570CB">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3.符合下列情形之一：</w:t>
      </w:r>
    </w:p>
    <w:p w14:paraId="727E434C">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1）投标人未被人民法院列入失信被执行人的；</w:t>
      </w:r>
    </w:p>
    <w:p w14:paraId="49771BC2">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2）投标人或其法定代表人或拟派项目经理（项目负责人）未被人民检察院列入行贿犯罪档案的；</w:t>
      </w:r>
    </w:p>
    <w:p w14:paraId="33A16841">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3）投标人未被工商行政管理部门列入企业经营异常名录的；</w:t>
      </w:r>
    </w:p>
    <w:p w14:paraId="6B2B019D">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4）投标人未被税务部门列入重大税收违法案件当事人名单的。</w:t>
      </w:r>
    </w:p>
    <w:p w14:paraId="017F58D8">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4.资质要求：投标人须具有以下资质之一:</w:t>
      </w:r>
    </w:p>
    <w:p w14:paraId="4DB8FA84">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 （1）有效的《中华人民共和国特种设备生产许可证》，许可项目包括电梯安装（含修理），许可子项目须同时包含以下内容：1）曳引驱动乘客电梯、2）自动扶梯；</w:t>
      </w:r>
    </w:p>
    <w:p w14:paraId="098F0609">
      <w:pPr>
        <w:autoSpaceDE w:val="0"/>
        <w:autoSpaceDN w:val="0"/>
        <w:adjustRightInd w:val="0"/>
        <w:spacing w:line="360" w:lineRule="auto"/>
        <w:ind w:firstLine="200"/>
        <w:jc w:val="left"/>
        <w:rPr>
          <w:rFonts w:hint="eastAsia"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 xml:space="preserve"> （2）有效的《中华人民共和国特种设备生产许可证》，许可项目包括电梯制造（含修理），许可子项目须同时包含以下内容：1）曳引驱动乘客电梯、2）自动扶梯。</w:t>
      </w:r>
    </w:p>
    <w:p w14:paraId="579B4D77">
      <w:pPr>
        <w:autoSpaceDE w:val="0"/>
        <w:autoSpaceDN w:val="0"/>
        <w:adjustRightInd w:val="0"/>
        <w:spacing w:line="360" w:lineRule="auto"/>
        <w:ind w:firstLine="200"/>
        <w:jc w:val="left"/>
        <w:rPr>
          <w:rFonts w:hint="eastAsia" w:ascii="宋体" w:hAnsi="宋体"/>
          <w:b/>
          <w:bCs/>
          <w:color w:val="auto"/>
          <w:sz w:val="24"/>
          <w:szCs w:val="24"/>
          <w:u w:val="none"/>
        </w:rPr>
      </w:pPr>
      <w:r>
        <w:rPr>
          <w:rFonts w:hint="eastAsia" w:ascii="宋体" w:hAnsi="宋体"/>
          <w:b/>
          <w:bCs/>
          <w:color w:val="auto"/>
          <w:sz w:val="24"/>
          <w:szCs w:val="24"/>
          <w:u w:val="none"/>
        </w:rPr>
        <w:t>三、磋商文件的获取</w:t>
      </w:r>
    </w:p>
    <w:p w14:paraId="0569C8C2">
      <w:pPr>
        <w:spacing w:line="360" w:lineRule="auto"/>
        <w:rPr>
          <w:rFonts w:hint="default" w:ascii="宋体" w:hAnsi="宋体"/>
          <w:bCs/>
          <w:color w:val="auto"/>
          <w:sz w:val="24"/>
          <w:szCs w:val="24"/>
          <w:highlight w:val="none"/>
          <w:u w:val="none"/>
          <w:lang w:val="en-US" w:eastAsia="zh-CN"/>
        </w:rPr>
      </w:pPr>
      <w:r>
        <w:rPr>
          <w:rFonts w:hint="eastAsia" w:ascii="宋体" w:hAnsi="宋体"/>
          <w:bCs/>
          <w:color w:val="auto"/>
          <w:sz w:val="24"/>
          <w:szCs w:val="24"/>
          <w:highlight w:val="none"/>
          <w:u w:val="none"/>
        </w:rPr>
        <w:t>1.获取时间：</w:t>
      </w:r>
      <w:r>
        <w:rPr>
          <w:rFonts w:hint="eastAsia" w:ascii="宋体" w:hAnsi="宋体"/>
          <w:bCs/>
          <w:color w:val="auto"/>
          <w:sz w:val="24"/>
          <w:szCs w:val="24"/>
          <w:highlight w:val="none"/>
          <w:u w:val="none"/>
          <w:lang w:val="en-US" w:eastAsia="zh-CN"/>
        </w:rPr>
        <w:t>即日起</w:t>
      </w:r>
      <w:r>
        <w:rPr>
          <w:rFonts w:hint="eastAsia" w:ascii="宋体" w:hAnsi="宋体"/>
          <w:bCs/>
          <w:color w:val="auto"/>
          <w:sz w:val="24"/>
          <w:szCs w:val="24"/>
          <w:highlight w:val="none"/>
          <w:u w:val="none"/>
        </w:rPr>
        <w:t>至202</w:t>
      </w:r>
      <w:r>
        <w:rPr>
          <w:rFonts w:hint="eastAsia" w:ascii="宋体" w:hAnsi="宋体"/>
          <w:bCs/>
          <w:color w:val="auto"/>
          <w:sz w:val="24"/>
          <w:szCs w:val="24"/>
          <w:highlight w:val="none"/>
          <w:u w:val="none"/>
          <w:lang w:val="en-US" w:eastAsia="zh-CN"/>
        </w:rPr>
        <w:t>5</w:t>
      </w:r>
      <w:r>
        <w:rPr>
          <w:rFonts w:hint="eastAsia" w:ascii="宋体" w:hAnsi="宋体"/>
          <w:bCs/>
          <w:color w:val="auto"/>
          <w:sz w:val="24"/>
          <w:szCs w:val="24"/>
          <w:highlight w:val="none"/>
          <w:u w:val="none"/>
        </w:rPr>
        <w:t>年</w:t>
      </w:r>
      <w:r>
        <w:rPr>
          <w:rFonts w:hint="eastAsia" w:ascii="宋体" w:hAnsi="宋体"/>
          <w:bCs/>
          <w:color w:val="auto"/>
          <w:sz w:val="24"/>
          <w:szCs w:val="24"/>
          <w:highlight w:val="none"/>
          <w:u w:val="none"/>
          <w:lang w:val="en-US" w:eastAsia="zh-CN"/>
        </w:rPr>
        <w:t>11</w:t>
      </w:r>
      <w:r>
        <w:rPr>
          <w:rFonts w:hint="eastAsia" w:ascii="宋体" w:hAnsi="宋体"/>
          <w:bCs/>
          <w:color w:val="auto"/>
          <w:sz w:val="24"/>
          <w:szCs w:val="24"/>
          <w:highlight w:val="none"/>
          <w:u w:val="none"/>
        </w:rPr>
        <w:t>月</w:t>
      </w:r>
      <w:r>
        <w:rPr>
          <w:rFonts w:hint="eastAsia" w:ascii="宋体" w:hAnsi="宋体"/>
          <w:bCs/>
          <w:color w:val="auto"/>
          <w:sz w:val="24"/>
          <w:szCs w:val="24"/>
          <w:highlight w:val="none"/>
          <w:u w:val="none"/>
          <w:lang w:val="en-US" w:eastAsia="zh-CN"/>
        </w:rPr>
        <w:t>26</w:t>
      </w:r>
      <w:r>
        <w:rPr>
          <w:rFonts w:hint="eastAsia" w:ascii="宋体" w:hAnsi="宋体"/>
          <w:bCs/>
          <w:color w:val="auto"/>
          <w:sz w:val="24"/>
          <w:szCs w:val="24"/>
          <w:highlight w:val="none"/>
          <w:u w:val="none"/>
        </w:rPr>
        <w:t>日</w:t>
      </w:r>
      <w:r>
        <w:rPr>
          <w:rFonts w:hint="eastAsia" w:ascii="宋体" w:hAnsi="宋体"/>
          <w:bCs/>
          <w:color w:val="auto"/>
          <w:sz w:val="24"/>
          <w:szCs w:val="24"/>
          <w:highlight w:val="none"/>
          <w:u w:val="none"/>
          <w:lang w:val="en-US" w:eastAsia="zh-CN"/>
        </w:rPr>
        <w:t>17:30</w:t>
      </w:r>
    </w:p>
    <w:p w14:paraId="6DF651A0">
      <w:pPr>
        <w:spacing w:line="360" w:lineRule="auto"/>
        <w:rPr>
          <w:rFonts w:hint="default" w:ascii="宋体" w:hAnsi="宋体"/>
          <w:bCs/>
          <w:color w:val="auto"/>
          <w:sz w:val="24"/>
          <w:szCs w:val="24"/>
          <w:u w:val="none"/>
          <w:lang w:val="en-US" w:eastAsia="zh-CN"/>
        </w:rPr>
      </w:pPr>
      <w:r>
        <w:rPr>
          <w:rFonts w:hint="eastAsia" w:ascii="宋体" w:hAnsi="宋体"/>
          <w:bCs/>
          <w:color w:val="auto"/>
          <w:sz w:val="24"/>
          <w:szCs w:val="24"/>
          <w:u w:val="none"/>
        </w:rPr>
        <w:t>2.磋商文件价格：</w:t>
      </w:r>
      <w:r>
        <w:rPr>
          <w:rFonts w:hint="eastAsia" w:ascii="宋体" w:hAnsi="宋体"/>
          <w:bCs/>
          <w:color w:val="auto"/>
          <w:sz w:val="24"/>
          <w:szCs w:val="24"/>
          <w:u w:val="none"/>
          <w:lang w:eastAsia="zh-CN"/>
        </w:rPr>
        <w:t>免费</w:t>
      </w:r>
    </w:p>
    <w:p w14:paraId="11137896">
      <w:pPr>
        <w:spacing w:line="360" w:lineRule="auto"/>
        <w:rPr>
          <w:rFonts w:hint="default" w:ascii="宋体" w:hAnsi="宋体"/>
          <w:bCs/>
          <w:color w:val="auto"/>
          <w:sz w:val="24"/>
          <w:szCs w:val="24"/>
          <w:u w:val="none"/>
          <w:lang w:val="en-US"/>
        </w:rPr>
      </w:pPr>
      <w:r>
        <w:rPr>
          <w:rFonts w:hint="eastAsia" w:ascii="宋体" w:hAnsi="宋体"/>
          <w:bCs/>
          <w:color w:val="auto"/>
          <w:sz w:val="24"/>
          <w:szCs w:val="24"/>
          <w:u w:val="none"/>
        </w:rPr>
        <w:t>3.获取方式</w:t>
      </w:r>
    </w:p>
    <w:p w14:paraId="72DE13A6">
      <w:pPr>
        <w:spacing w:line="360" w:lineRule="auto"/>
        <w:rPr>
          <w:rFonts w:hint="eastAsia" w:ascii="宋体" w:hAnsi="宋体"/>
          <w:bCs/>
          <w:color w:val="auto"/>
          <w:sz w:val="24"/>
          <w:szCs w:val="24"/>
          <w:highlight w:val="none"/>
          <w:u w:val="none"/>
          <w:lang w:val="en-US" w:eastAsia="zh-CN"/>
        </w:rPr>
      </w:pPr>
      <w:r>
        <w:rPr>
          <w:rFonts w:hint="eastAsia" w:ascii="宋体" w:hAnsi="宋体"/>
          <w:bCs/>
          <w:color w:val="auto"/>
          <w:sz w:val="24"/>
          <w:szCs w:val="24"/>
          <w:highlight w:val="none"/>
          <w:u w:val="none"/>
          <w:lang w:val="en-US" w:eastAsia="zh-CN"/>
        </w:rPr>
        <w:t>潜在投标人须登录合肥庐阳城市发展集团有限公司官方公众号站查阅并下载磋商文件。</w:t>
      </w:r>
    </w:p>
    <w:p w14:paraId="0CD41A65">
      <w:pPr>
        <w:autoSpaceDE w:val="0"/>
        <w:autoSpaceDN w:val="0"/>
        <w:adjustRightInd w:val="0"/>
        <w:spacing w:line="360" w:lineRule="auto"/>
        <w:ind w:firstLine="200"/>
        <w:jc w:val="left"/>
        <w:rPr>
          <w:rFonts w:hint="eastAsia" w:ascii="宋体" w:hAnsi="宋体"/>
          <w:b/>
          <w:bCs/>
          <w:color w:val="auto"/>
          <w:sz w:val="24"/>
          <w:szCs w:val="18"/>
          <w:u w:val="none"/>
        </w:rPr>
      </w:pPr>
      <w:r>
        <w:rPr>
          <w:rFonts w:hint="eastAsia" w:ascii="宋体" w:hAnsi="宋体"/>
          <w:b/>
          <w:bCs/>
          <w:color w:val="auto"/>
          <w:sz w:val="24"/>
          <w:szCs w:val="18"/>
          <w:u w:val="none"/>
        </w:rPr>
        <w:t>四、磋商时间及地点</w:t>
      </w:r>
    </w:p>
    <w:p w14:paraId="63590C24">
      <w:pPr>
        <w:autoSpaceDE w:val="0"/>
        <w:autoSpaceDN w:val="0"/>
        <w:adjustRightInd w:val="0"/>
        <w:spacing w:line="360" w:lineRule="auto"/>
        <w:ind w:firstLine="200"/>
        <w:jc w:val="left"/>
        <w:rPr>
          <w:rFonts w:hint="eastAsia" w:ascii="宋体" w:hAnsi="宋体"/>
          <w:bCs/>
          <w:color w:val="auto"/>
          <w:sz w:val="24"/>
          <w:szCs w:val="18"/>
          <w:highlight w:val="yellow"/>
          <w:u w:val="none"/>
        </w:rPr>
      </w:pPr>
      <w:r>
        <w:rPr>
          <w:rFonts w:hint="eastAsia" w:ascii="宋体" w:hAnsi="宋体"/>
          <w:color w:val="auto"/>
          <w:sz w:val="24"/>
          <w:szCs w:val="18"/>
          <w:u w:val="none"/>
        </w:rPr>
        <w:t>1.</w:t>
      </w:r>
      <w:r>
        <w:rPr>
          <w:rFonts w:hint="eastAsia" w:ascii="宋体" w:hAnsi="宋体"/>
          <w:color w:val="auto"/>
          <w:sz w:val="24"/>
          <w:szCs w:val="18"/>
          <w:highlight w:val="none"/>
          <w:u w:val="none"/>
        </w:rPr>
        <w:t>磋商时间：</w:t>
      </w:r>
      <w:r>
        <w:rPr>
          <w:rFonts w:hint="eastAsia" w:ascii="宋体" w:hAnsi="宋体"/>
          <w:color w:val="auto"/>
          <w:sz w:val="24"/>
          <w:szCs w:val="24"/>
          <w:u w:val="none"/>
          <w:lang w:eastAsia="zh-CN"/>
        </w:rPr>
        <w:t>响应文件提交截止时间后由招标人根据工作情况自行确定</w:t>
      </w:r>
    </w:p>
    <w:p w14:paraId="29363BAB">
      <w:pPr>
        <w:autoSpaceDE w:val="0"/>
        <w:autoSpaceDN w:val="0"/>
        <w:adjustRightInd w:val="0"/>
        <w:spacing w:line="360" w:lineRule="auto"/>
        <w:ind w:firstLine="200"/>
        <w:jc w:val="left"/>
        <w:rPr>
          <w:rFonts w:hint="eastAsia" w:ascii="宋体" w:hAnsi="宋体"/>
          <w:bCs/>
          <w:color w:val="auto"/>
          <w:sz w:val="24"/>
          <w:szCs w:val="24"/>
          <w:highlight w:val="none"/>
          <w:u w:val="none"/>
        </w:rPr>
      </w:pPr>
      <w:r>
        <w:rPr>
          <w:rFonts w:hint="eastAsia" w:ascii="宋体" w:hAnsi="宋体"/>
          <w:bCs/>
          <w:color w:val="auto"/>
          <w:sz w:val="24"/>
          <w:szCs w:val="18"/>
          <w:highlight w:val="none"/>
          <w:u w:val="none"/>
        </w:rPr>
        <w:t>2.磋商地点：</w:t>
      </w:r>
      <w:r>
        <w:rPr>
          <w:rFonts w:hint="eastAsia"/>
          <w:color w:val="auto"/>
          <w:highlight w:val="none"/>
          <w:lang w:eastAsia="zh-CN"/>
        </w:rPr>
        <w:t>由招标人自行确定（</w:t>
      </w:r>
      <w:r>
        <w:rPr>
          <w:rFonts w:hint="eastAsia"/>
          <w:b/>
          <w:bCs/>
          <w:color w:val="auto"/>
          <w:highlight w:val="none"/>
          <w:lang w:eastAsia="zh-CN"/>
        </w:rPr>
        <w:t>备注：投标人在规定时间内递交投标文件即可，无须现场</w:t>
      </w:r>
      <w:r>
        <w:rPr>
          <w:rFonts w:hint="eastAsia"/>
          <w:b/>
          <w:bCs/>
          <w:color w:val="auto"/>
          <w:sz w:val="24"/>
          <w:szCs w:val="24"/>
          <w:highlight w:val="none"/>
          <w:lang w:eastAsia="zh-CN"/>
        </w:rPr>
        <w:t>参加开标</w:t>
      </w:r>
      <w:r>
        <w:rPr>
          <w:rFonts w:hint="eastAsia"/>
          <w:color w:val="auto"/>
          <w:sz w:val="24"/>
          <w:szCs w:val="24"/>
          <w:highlight w:val="none"/>
          <w:lang w:eastAsia="zh-CN"/>
        </w:rPr>
        <w:t>）</w:t>
      </w:r>
      <w:r>
        <w:rPr>
          <w:rFonts w:hint="eastAsia" w:cs="楷体"/>
          <w:bCs/>
          <w:snapToGrid w:val="0"/>
          <w:color w:val="auto"/>
          <w:sz w:val="24"/>
          <w:szCs w:val="24"/>
          <w:highlight w:val="none"/>
        </w:rPr>
        <w:t>。</w:t>
      </w:r>
    </w:p>
    <w:p w14:paraId="095C97B2">
      <w:pPr>
        <w:autoSpaceDE w:val="0"/>
        <w:autoSpaceDN w:val="0"/>
        <w:adjustRightInd w:val="0"/>
        <w:spacing w:line="360" w:lineRule="auto"/>
        <w:ind w:firstLine="200"/>
        <w:jc w:val="left"/>
        <w:rPr>
          <w:rFonts w:hint="eastAsia" w:ascii="宋体" w:hAnsi="宋体"/>
          <w:b/>
          <w:bCs/>
          <w:color w:val="auto"/>
          <w:sz w:val="24"/>
          <w:szCs w:val="24"/>
          <w:highlight w:val="none"/>
          <w:u w:val="none"/>
        </w:rPr>
      </w:pPr>
      <w:r>
        <w:rPr>
          <w:rFonts w:hint="eastAsia" w:ascii="宋体" w:hAnsi="宋体"/>
          <w:b/>
          <w:bCs/>
          <w:color w:val="auto"/>
          <w:sz w:val="24"/>
          <w:szCs w:val="24"/>
          <w:highlight w:val="none"/>
          <w:u w:val="none"/>
        </w:rPr>
        <w:t>五、响应文件提交截止时间</w:t>
      </w:r>
    </w:p>
    <w:p w14:paraId="2B15F75B">
      <w:pPr>
        <w:spacing w:line="360" w:lineRule="auto"/>
        <w:ind w:firstLine="720" w:firstLineChars="300"/>
        <w:rPr>
          <w:rFonts w:hint="eastAsia" w:ascii="宋体" w:hAnsi="宋体"/>
          <w:bCs/>
          <w:color w:val="auto"/>
          <w:sz w:val="24"/>
          <w:szCs w:val="24"/>
          <w:highlight w:val="none"/>
          <w:u w:val="none"/>
          <w:lang w:val="en-US" w:eastAsia="zh-CN"/>
        </w:rPr>
      </w:pPr>
      <w:r>
        <w:rPr>
          <w:rFonts w:hint="eastAsia" w:ascii="宋体" w:hAnsi="宋体"/>
          <w:bCs/>
          <w:color w:val="auto"/>
          <w:sz w:val="24"/>
          <w:szCs w:val="24"/>
          <w:highlight w:val="none"/>
          <w:u w:val="none"/>
        </w:rPr>
        <w:t>202</w:t>
      </w:r>
      <w:r>
        <w:rPr>
          <w:rFonts w:hint="eastAsia" w:ascii="宋体" w:hAnsi="宋体"/>
          <w:bCs/>
          <w:color w:val="auto"/>
          <w:sz w:val="24"/>
          <w:szCs w:val="24"/>
          <w:highlight w:val="none"/>
          <w:u w:val="none"/>
          <w:lang w:val="en-US" w:eastAsia="zh-CN"/>
        </w:rPr>
        <w:t>5</w:t>
      </w:r>
      <w:r>
        <w:rPr>
          <w:rFonts w:hint="eastAsia" w:ascii="宋体" w:hAnsi="宋体"/>
          <w:bCs/>
          <w:color w:val="auto"/>
          <w:sz w:val="24"/>
          <w:szCs w:val="24"/>
          <w:highlight w:val="none"/>
          <w:u w:val="none"/>
        </w:rPr>
        <w:t>年</w:t>
      </w:r>
      <w:r>
        <w:rPr>
          <w:rFonts w:hint="eastAsia" w:ascii="宋体" w:hAnsi="宋体"/>
          <w:bCs/>
          <w:color w:val="auto"/>
          <w:sz w:val="24"/>
          <w:szCs w:val="24"/>
          <w:highlight w:val="none"/>
          <w:u w:val="none"/>
          <w:lang w:val="en-US" w:eastAsia="zh-CN"/>
        </w:rPr>
        <w:t>11</w:t>
      </w:r>
      <w:r>
        <w:rPr>
          <w:rFonts w:hint="eastAsia" w:ascii="宋体" w:hAnsi="宋体"/>
          <w:bCs/>
          <w:color w:val="auto"/>
          <w:sz w:val="24"/>
          <w:szCs w:val="24"/>
          <w:highlight w:val="none"/>
          <w:u w:val="none"/>
        </w:rPr>
        <w:t>月</w:t>
      </w:r>
      <w:r>
        <w:rPr>
          <w:rFonts w:hint="eastAsia" w:ascii="宋体" w:hAnsi="宋体"/>
          <w:bCs/>
          <w:color w:val="auto"/>
          <w:sz w:val="24"/>
          <w:szCs w:val="24"/>
          <w:highlight w:val="none"/>
          <w:u w:val="none"/>
          <w:lang w:val="en-US" w:eastAsia="zh-CN"/>
        </w:rPr>
        <w:t>26</w:t>
      </w:r>
      <w:r>
        <w:rPr>
          <w:rFonts w:hint="eastAsia" w:ascii="宋体" w:hAnsi="宋体"/>
          <w:bCs/>
          <w:color w:val="auto"/>
          <w:sz w:val="24"/>
          <w:szCs w:val="24"/>
          <w:highlight w:val="none"/>
          <w:u w:val="none"/>
        </w:rPr>
        <w:t>日</w:t>
      </w:r>
      <w:r>
        <w:rPr>
          <w:rFonts w:hint="eastAsia" w:ascii="宋体" w:hAnsi="宋体"/>
          <w:bCs/>
          <w:color w:val="auto"/>
          <w:sz w:val="24"/>
          <w:szCs w:val="24"/>
          <w:highlight w:val="none"/>
          <w:u w:val="none"/>
          <w:lang w:val="en-US" w:eastAsia="zh-CN"/>
        </w:rPr>
        <w:t>17:30</w:t>
      </w:r>
    </w:p>
    <w:p w14:paraId="342BE35F">
      <w:pPr>
        <w:numPr>
          <w:ilvl w:val="0"/>
          <w:numId w:val="2"/>
        </w:numPr>
        <w:autoSpaceDE w:val="0"/>
        <w:autoSpaceDN w:val="0"/>
        <w:adjustRightInd w:val="0"/>
        <w:spacing w:line="360" w:lineRule="auto"/>
        <w:ind w:firstLine="200"/>
        <w:jc w:val="left"/>
        <w:rPr>
          <w:rFonts w:hint="eastAsia" w:ascii="宋体" w:hAnsi="宋体" w:eastAsia="宋体" w:cs="Times New Roman"/>
          <w:b/>
          <w:bCs/>
          <w:color w:val="auto"/>
          <w:sz w:val="24"/>
          <w:szCs w:val="24"/>
          <w:highlight w:val="none"/>
          <w:u w:val="none"/>
          <w:lang w:val="en-US" w:eastAsia="zh-CN"/>
        </w:rPr>
      </w:pPr>
      <w:r>
        <w:rPr>
          <w:rFonts w:hint="eastAsia" w:ascii="宋体" w:hAnsi="宋体" w:eastAsia="宋体" w:cs="Times New Roman"/>
          <w:b/>
          <w:bCs/>
          <w:color w:val="auto"/>
          <w:sz w:val="24"/>
          <w:szCs w:val="24"/>
          <w:highlight w:val="none"/>
          <w:u w:val="none"/>
          <w:lang w:val="en-US" w:eastAsia="zh-CN"/>
        </w:rPr>
        <w:t>响应文件递交注意事项：</w:t>
      </w:r>
    </w:p>
    <w:p w14:paraId="26AA6708">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bCs/>
          <w:color w:val="auto"/>
          <w:sz w:val="24"/>
          <w:szCs w:val="24"/>
          <w:u w:val="none"/>
          <w:lang w:val="en-US" w:eastAsia="zh-CN" w:bidi="ar-SA"/>
        </w:rPr>
      </w:pPr>
      <w:r>
        <w:rPr>
          <w:rFonts w:hint="eastAsia" w:ascii="宋体" w:hAnsi="宋体" w:eastAsia="宋体" w:cs="Times New Roman"/>
          <w:bCs/>
          <w:color w:val="auto"/>
          <w:sz w:val="24"/>
          <w:szCs w:val="24"/>
          <w:u w:val="none"/>
          <w:lang w:val="en-US" w:eastAsia="zh-CN" w:bidi="ar-SA"/>
        </w:rPr>
        <w:t>1.</w:t>
      </w:r>
      <w:r>
        <w:rPr>
          <w:rFonts w:hint="default" w:ascii="宋体" w:hAnsi="宋体" w:eastAsia="宋体" w:cs="Times New Roman"/>
          <w:bCs/>
          <w:color w:val="auto"/>
          <w:sz w:val="24"/>
          <w:szCs w:val="24"/>
          <w:u w:val="none"/>
          <w:lang w:val="en-US" w:eastAsia="zh-CN" w:bidi="ar-SA"/>
        </w:rPr>
        <w:t>投标文件由投标人在响应文件递交截止时间前密封递交</w:t>
      </w:r>
      <w:r>
        <w:rPr>
          <w:rFonts w:hint="eastAsia" w:ascii="宋体" w:hAnsi="宋体" w:eastAsia="宋体" w:cs="Times New Roman"/>
          <w:bCs/>
          <w:color w:val="auto"/>
          <w:sz w:val="24"/>
          <w:szCs w:val="24"/>
          <w:u w:val="none"/>
          <w:lang w:val="en-US" w:eastAsia="zh-CN" w:bidi="ar-SA"/>
        </w:rPr>
        <w:t>；</w:t>
      </w:r>
    </w:p>
    <w:p w14:paraId="604A02DA">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bCs/>
          <w:color w:val="auto"/>
          <w:sz w:val="24"/>
          <w:szCs w:val="24"/>
          <w:u w:val="none"/>
          <w:lang w:val="en-US" w:eastAsia="zh-CN" w:bidi="ar-SA"/>
        </w:rPr>
      </w:pPr>
      <w:r>
        <w:rPr>
          <w:rFonts w:hint="eastAsia" w:ascii="宋体" w:hAnsi="宋体" w:eastAsia="宋体" w:cs="Times New Roman"/>
          <w:bCs/>
          <w:color w:val="auto"/>
          <w:sz w:val="24"/>
          <w:szCs w:val="24"/>
          <w:u w:val="none"/>
          <w:lang w:val="en-US" w:eastAsia="zh-CN" w:bidi="ar-SA"/>
        </w:rPr>
        <w:t>2.</w:t>
      </w:r>
      <w:r>
        <w:rPr>
          <w:rFonts w:hint="default" w:ascii="宋体" w:hAnsi="宋体" w:eastAsia="宋体" w:cs="Times New Roman"/>
          <w:bCs/>
          <w:color w:val="auto"/>
          <w:sz w:val="24"/>
          <w:szCs w:val="24"/>
          <w:u w:val="none"/>
          <w:lang w:val="en-US" w:eastAsia="zh-CN" w:bidi="ar-SA"/>
        </w:rPr>
        <w:t>本项目仅接受线下</w:t>
      </w:r>
      <w:r>
        <w:rPr>
          <w:rFonts w:hint="eastAsia" w:ascii="宋体" w:hAnsi="宋体" w:eastAsia="宋体" w:cs="Times New Roman"/>
          <w:bCs/>
          <w:color w:val="auto"/>
          <w:sz w:val="24"/>
          <w:szCs w:val="24"/>
          <w:u w:val="none"/>
          <w:lang w:val="en-US" w:eastAsia="zh-CN" w:bidi="ar-SA"/>
        </w:rPr>
        <w:t>凭授权委托书或法人身份证明文件现场</w:t>
      </w:r>
      <w:r>
        <w:rPr>
          <w:rFonts w:hint="default" w:ascii="宋体" w:hAnsi="宋体" w:eastAsia="宋体" w:cs="Times New Roman"/>
          <w:bCs/>
          <w:color w:val="auto"/>
          <w:sz w:val="24"/>
          <w:szCs w:val="24"/>
          <w:u w:val="none"/>
          <w:lang w:val="en-US" w:eastAsia="zh-CN" w:bidi="ar-SA"/>
        </w:rPr>
        <w:t>递交</w:t>
      </w:r>
      <w:r>
        <w:rPr>
          <w:rFonts w:hint="eastAsia" w:ascii="宋体" w:hAnsi="宋体" w:eastAsia="宋体" w:cs="Times New Roman"/>
          <w:bCs/>
          <w:color w:val="auto"/>
          <w:sz w:val="24"/>
          <w:szCs w:val="24"/>
          <w:u w:val="none"/>
          <w:lang w:val="en-US" w:eastAsia="zh-CN" w:bidi="ar-SA"/>
        </w:rPr>
        <w:t>，</w:t>
      </w:r>
      <w:r>
        <w:rPr>
          <w:rFonts w:hint="eastAsia" w:ascii="宋体" w:hAnsi="宋体" w:eastAsia="宋体" w:cs="Times New Roman"/>
          <w:b/>
          <w:bCs w:val="0"/>
          <w:color w:val="auto"/>
          <w:sz w:val="24"/>
          <w:szCs w:val="24"/>
          <w:u w:val="none"/>
          <w:lang w:val="en-US" w:eastAsia="zh-CN" w:bidi="ar-SA"/>
        </w:rPr>
        <w:t>不接受邮寄</w:t>
      </w:r>
      <w:r>
        <w:rPr>
          <w:rFonts w:hint="eastAsia" w:ascii="宋体" w:hAnsi="宋体" w:eastAsia="宋体" w:cs="Times New Roman"/>
          <w:bCs/>
          <w:color w:val="auto"/>
          <w:sz w:val="24"/>
          <w:szCs w:val="24"/>
          <w:u w:val="none"/>
          <w:lang w:val="en-US" w:eastAsia="zh-CN" w:bidi="ar-SA"/>
        </w:rPr>
        <w:t>等其他递交方式；</w:t>
      </w:r>
    </w:p>
    <w:p w14:paraId="036216BA">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bCs/>
          <w:color w:val="auto"/>
          <w:sz w:val="24"/>
          <w:szCs w:val="24"/>
          <w:u w:val="none"/>
          <w:lang w:val="en-US" w:eastAsia="zh-CN" w:bidi="ar-SA"/>
        </w:rPr>
      </w:pPr>
      <w:r>
        <w:rPr>
          <w:rFonts w:hint="eastAsia" w:ascii="宋体" w:hAnsi="宋体" w:eastAsia="宋体" w:cs="Times New Roman"/>
          <w:bCs/>
          <w:color w:val="auto"/>
          <w:sz w:val="24"/>
          <w:szCs w:val="24"/>
          <w:u w:val="none"/>
          <w:lang w:val="en-US" w:eastAsia="zh-CN" w:bidi="ar-SA"/>
        </w:rPr>
        <w:t>3.递交时须</w:t>
      </w:r>
      <w:r>
        <w:rPr>
          <w:rFonts w:hint="default" w:ascii="宋体" w:hAnsi="宋体" w:eastAsia="宋体" w:cs="Times New Roman"/>
          <w:bCs/>
          <w:color w:val="auto"/>
          <w:sz w:val="24"/>
          <w:szCs w:val="24"/>
          <w:u w:val="none"/>
          <w:lang w:val="en-US" w:eastAsia="zh-CN" w:bidi="ar-SA"/>
        </w:rPr>
        <w:t>另行单独提交以下证明材料，否则招标人不予接收。</w:t>
      </w:r>
    </w:p>
    <w:p w14:paraId="6FCF92E7">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bCs/>
          <w:color w:val="auto"/>
          <w:sz w:val="24"/>
          <w:szCs w:val="24"/>
          <w:u w:val="none"/>
          <w:lang w:val="en-US" w:eastAsia="zh-CN" w:bidi="ar-SA"/>
        </w:rPr>
      </w:pPr>
      <w:r>
        <w:rPr>
          <w:rFonts w:hint="default" w:ascii="宋体" w:hAnsi="宋体" w:eastAsia="宋体" w:cs="Times New Roman"/>
          <w:bCs/>
          <w:color w:val="auto"/>
          <w:sz w:val="24"/>
          <w:szCs w:val="24"/>
          <w:u w:val="none"/>
          <w:lang w:val="en-US" w:eastAsia="zh-CN" w:bidi="ar-SA"/>
        </w:rPr>
        <w:t>（1）法定代表人亲自递交的，应提供法定代表人身份证明和法定代表人的有效身份证件；</w:t>
      </w:r>
    </w:p>
    <w:p w14:paraId="026F25F2">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bCs/>
          <w:color w:val="auto"/>
          <w:sz w:val="24"/>
          <w:szCs w:val="24"/>
          <w:u w:val="none"/>
          <w:lang w:val="en-US" w:eastAsia="zh-CN" w:bidi="ar-SA"/>
        </w:rPr>
      </w:pPr>
      <w:r>
        <w:rPr>
          <w:rFonts w:hint="default" w:ascii="宋体" w:hAnsi="宋体" w:eastAsia="宋体" w:cs="Times New Roman"/>
          <w:bCs/>
          <w:color w:val="auto"/>
          <w:sz w:val="24"/>
          <w:szCs w:val="24"/>
          <w:u w:val="none"/>
          <w:lang w:val="en-US" w:eastAsia="zh-CN" w:bidi="ar-SA"/>
        </w:rPr>
        <w:t>（2）委托代理人递交的，应提供授权委托书和委托代理人的有效身份证件。</w:t>
      </w:r>
    </w:p>
    <w:p w14:paraId="5E3FFD6B">
      <w:pPr>
        <w:ind w:firstLine="480" w:firstLineChars="200"/>
        <w:rPr>
          <w:rFonts w:hint="default"/>
          <w:color w:val="auto"/>
          <w:lang w:val="en-US" w:eastAsia="zh-CN"/>
        </w:rPr>
      </w:pPr>
      <w:r>
        <w:rPr>
          <w:rFonts w:hint="eastAsia" w:ascii="宋体" w:hAnsi="宋体" w:cs="Times New Roman"/>
          <w:bCs/>
          <w:color w:val="auto"/>
          <w:sz w:val="24"/>
          <w:szCs w:val="24"/>
          <w:u w:val="none"/>
          <w:lang w:val="en-US" w:eastAsia="zh-CN" w:bidi="ar-SA"/>
        </w:rPr>
        <w:t>4.投标文件需按照响应文件提供格式提交。</w:t>
      </w:r>
    </w:p>
    <w:p w14:paraId="0B23EE16">
      <w:pPr>
        <w:autoSpaceDE w:val="0"/>
        <w:autoSpaceDN w:val="0"/>
        <w:adjustRightInd w:val="0"/>
        <w:spacing w:line="360" w:lineRule="auto"/>
        <w:ind w:firstLine="200"/>
        <w:jc w:val="left"/>
        <w:rPr>
          <w:rFonts w:hint="eastAsia" w:ascii="宋体" w:hAnsi="宋体"/>
          <w:b/>
          <w:bCs/>
          <w:color w:val="auto"/>
          <w:sz w:val="24"/>
          <w:szCs w:val="24"/>
          <w:highlight w:val="none"/>
          <w:u w:val="none"/>
        </w:rPr>
      </w:pPr>
      <w:r>
        <w:rPr>
          <w:rFonts w:hint="eastAsia" w:ascii="宋体" w:hAnsi="宋体"/>
          <w:b/>
          <w:bCs/>
          <w:color w:val="auto"/>
          <w:sz w:val="24"/>
          <w:szCs w:val="24"/>
          <w:highlight w:val="none"/>
          <w:u w:val="none"/>
          <w:lang w:val="en-US" w:eastAsia="zh-CN"/>
        </w:rPr>
        <w:t>七</w:t>
      </w:r>
      <w:r>
        <w:rPr>
          <w:rFonts w:hint="eastAsia" w:ascii="宋体" w:hAnsi="宋体"/>
          <w:b/>
          <w:bCs/>
          <w:color w:val="auto"/>
          <w:sz w:val="24"/>
          <w:szCs w:val="24"/>
          <w:highlight w:val="none"/>
          <w:u w:val="none"/>
        </w:rPr>
        <w:t>、联系方法</w:t>
      </w:r>
    </w:p>
    <w:p w14:paraId="7A407DBA">
      <w:pPr>
        <w:autoSpaceDE w:val="0"/>
        <w:autoSpaceDN w:val="0"/>
        <w:adjustRightInd w:val="0"/>
        <w:spacing w:line="360" w:lineRule="auto"/>
        <w:ind w:firstLine="200"/>
        <w:jc w:val="left"/>
        <w:rPr>
          <w:rFonts w:hint="eastAsia" w:ascii="宋体" w:hAnsi="宋体" w:eastAsia="宋体" w:cs="Times New Roman"/>
          <w:bCs/>
          <w:color w:val="auto"/>
          <w:kern w:val="2"/>
          <w:sz w:val="24"/>
          <w:szCs w:val="24"/>
          <w:u w:val="none"/>
          <w:lang w:val="en-US" w:eastAsia="zh-CN" w:bidi="ar-SA"/>
        </w:rPr>
      </w:pPr>
      <w:bookmarkStart w:id="3" w:name="_Toc27714"/>
      <w:r>
        <w:rPr>
          <w:rFonts w:hint="eastAsia" w:ascii="宋体" w:hAnsi="宋体" w:cs="Times New Roman"/>
          <w:bCs/>
          <w:color w:val="auto"/>
          <w:kern w:val="2"/>
          <w:sz w:val="24"/>
          <w:szCs w:val="24"/>
          <w:u w:val="none"/>
          <w:lang w:val="en-US" w:eastAsia="zh-CN" w:bidi="ar-SA"/>
        </w:rPr>
        <w:t>采购</w:t>
      </w:r>
      <w:r>
        <w:rPr>
          <w:rFonts w:hint="eastAsia" w:ascii="宋体" w:hAnsi="宋体" w:eastAsia="宋体" w:cs="Times New Roman"/>
          <w:bCs/>
          <w:color w:val="auto"/>
          <w:kern w:val="2"/>
          <w:sz w:val="24"/>
          <w:szCs w:val="24"/>
          <w:u w:val="none"/>
          <w:lang w:val="en-US" w:eastAsia="zh-CN" w:bidi="ar-SA"/>
        </w:rPr>
        <w:t>人：</w:t>
      </w:r>
      <w:r>
        <w:rPr>
          <w:rFonts w:hint="eastAsia" w:ascii="宋体" w:hAnsi="宋体"/>
          <w:color w:val="auto"/>
          <w:sz w:val="24"/>
          <w:szCs w:val="24"/>
          <w:u w:val="none"/>
          <w:lang w:eastAsia="zh-CN"/>
        </w:rPr>
        <w:t>合肥庐阳城市资源经营管理有限公司</w:t>
      </w:r>
    </w:p>
    <w:p w14:paraId="153CD5E6">
      <w:pPr>
        <w:autoSpaceDE w:val="0"/>
        <w:autoSpaceDN w:val="0"/>
        <w:adjustRightInd w:val="0"/>
        <w:spacing w:line="360" w:lineRule="auto"/>
        <w:ind w:left="961" w:leftChars="114" w:hanging="722" w:hangingChars="301"/>
        <w:jc w:val="left"/>
        <w:rPr>
          <w:rFonts w:hint="eastAsia" w:ascii="宋体" w:hAnsi="宋体" w:eastAsia="宋体" w:cs="Times New Roman"/>
          <w:bCs/>
          <w:color w:val="auto"/>
          <w:kern w:val="2"/>
          <w:sz w:val="24"/>
          <w:szCs w:val="24"/>
          <w:u w:val="none"/>
          <w:lang w:val="en-US" w:eastAsia="zh-CN" w:bidi="ar-SA"/>
        </w:rPr>
      </w:pPr>
      <w:r>
        <w:rPr>
          <w:rFonts w:hint="eastAsia" w:ascii="宋体" w:hAnsi="宋体" w:eastAsia="宋体" w:cs="Times New Roman"/>
          <w:bCs/>
          <w:color w:val="auto"/>
          <w:kern w:val="2"/>
          <w:sz w:val="24"/>
          <w:szCs w:val="24"/>
          <w:u w:val="none"/>
          <w:lang w:val="en-US" w:eastAsia="zh-CN" w:bidi="ar-SA"/>
        </w:rPr>
        <w:t xml:space="preserve">地址：合肥市庐阳区阜阳北路与龙潭桥路交口文一泊心湾S1栋 </w:t>
      </w:r>
    </w:p>
    <w:p w14:paraId="394D380C">
      <w:pPr>
        <w:autoSpaceDE w:val="0"/>
        <w:autoSpaceDN w:val="0"/>
        <w:adjustRightInd w:val="0"/>
        <w:spacing w:line="360" w:lineRule="auto"/>
        <w:ind w:left="958" w:leftChars="456" w:firstLine="0" w:firstLineChars="0"/>
        <w:jc w:val="left"/>
        <w:rPr>
          <w:rFonts w:hint="eastAsia" w:ascii="宋体" w:hAnsi="宋体" w:eastAsia="宋体" w:cs="Times New Roman"/>
          <w:bCs/>
          <w:color w:val="auto"/>
          <w:kern w:val="2"/>
          <w:sz w:val="24"/>
          <w:szCs w:val="24"/>
          <w:u w:val="none"/>
          <w:lang w:val="en-US" w:eastAsia="zh-CN" w:bidi="ar-SA"/>
        </w:rPr>
      </w:pPr>
      <w:r>
        <w:rPr>
          <w:rFonts w:hint="eastAsia" w:ascii="宋体" w:hAnsi="宋体" w:eastAsia="宋体" w:cs="Times New Roman"/>
          <w:bCs/>
          <w:color w:val="auto"/>
          <w:kern w:val="2"/>
          <w:sz w:val="24"/>
          <w:szCs w:val="24"/>
          <w:u w:val="none"/>
          <w:lang w:val="en-US" w:eastAsia="zh-CN" w:bidi="ar-SA"/>
        </w:rPr>
        <w:t xml:space="preserve">庐阳城发集团4楼426室  </w:t>
      </w:r>
    </w:p>
    <w:p w14:paraId="44EB9138">
      <w:pPr>
        <w:autoSpaceDE w:val="0"/>
        <w:autoSpaceDN w:val="0"/>
        <w:adjustRightInd w:val="0"/>
        <w:spacing w:line="360" w:lineRule="auto"/>
        <w:ind w:firstLine="200"/>
        <w:jc w:val="left"/>
        <w:rPr>
          <w:rFonts w:hint="eastAsia" w:ascii="宋体" w:hAnsi="宋体" w:eastAsia="宋体" w:cs="Times New Roman"/>
          <w:bCs/>
          <w:color w:val="auto"/>
          <w:kern w:val="2"/>
          <w:sz w:val="24"/>
          <w:szCs w:val="24"/>
          <w:u w:val="none"/>
          <w:lang w:val="en-US" w:eastAsia="zh-CN" w:bidi="ar-SA"/>
        </w:rPr>
      </w:pPr>
      <w:r>
        <w:rPr>
          <w:rFonts w:hint="eastAsia" w:ascii="宋体" w:hAnsi="宋体" w:eastAsia="宋体" w:cs="Times New Roman"/>
          <w:bCs/>
          <w:color w:val="auto"/>
          <w:kern w:val="2"/>
          <w:sz w:val="24"/>
          <w:szCs w:val="24"/>
          <w:u w:val="none"/>
          <w:lang w:val="en-US" w:eastAsia="zh-CN" w:bidi="ar-SA"/>
        </w:rPr>
        <w:t xml:space="preserve">联系人：樊工 </w:t>
      </w:r>
    </w:p>
    <w:p w14:paraId="3B0826C6">
      <w:pPr>
        <w:autoSpaceDE w:val="0"/>
        <w:autoSpaceDN w:val="0"/>
        <w:adjustRightInd w:val="0"/>
        <w:spacing w:line="360" w:lineRule="auto"/>
        <w:ind w:firstLine="200"/>
        <w:jc w:val="left"/>
        <w:rPr>
          <w:rFonts w:hint="eastAsia" w:ascii="宋体" w:hAnsi="宋体" w:eastAsia="宋体" w:cs="Times New Roman"/>
          <w:bCs/>
          <w:color w:val="auto"/>
          <w:kern w:val="2"/>
          <w:sz w:val="24"/>
          <w:szCs w:val="24"/>
          <w:u w:val="none"/>
          <w:lang w:val="en-US" w:eastAsia="zh-CN" w:bidi="ar-SA"/>
        </w:rPr>
      </w:pPr>
      <w:r>
        <w:rPr>
          <w:rFonts w:hint="eastAsia" w:ascii="宋体" w:hAnsi="宋体" w:eastAsia="宋体" w:cs="Times New Roman"/>
          <w:bCs/>
          <w:color w:val="auto"/>
          <w:kern w:val="2"/>
          <w:sz w:val="24"/>
          <w:szCs w:val="24"/>
          <w:u w:val="none"/>
          <w:lang w:val="en-US" w:eastAsia="zh-CN" w:bidi="ar-SA"/>
        </w:rPr>
        <w:t>电  话：0551-62661389</w:t>
      </w:r>
    </w:p>
    <w:p w14:paraId="74D0B893">
      <w:pPr>
        <w:autoSpaceDE w:val="0"/>
        <w:autoSpaceDN w:val="0"/>
        <w:adjustRightInd w:val="0"/>
        <w:spacing w:line="360" w:lineRule="auto"/>
        <w:ind w:firstLine="200"/>
        <w:jc w:val="left"/>
        <w:rPr>
          <w:rFonts w:hAnsi="宋体"/>
          <w:b/>
          <w:bCs/>
          <w:color w:val="auto"/>
          <w:szCs w:val="18"/>
        </w:rPr>
      </w:pPr>
      <w:r>
        <w:rPr>
          <w:rFonts w:hint="eastAsia" w:hAnsi="宋体"/>
          <w:b/>
          <w:bCs/>
          <w:color w:val="auto"/>
          <w:szCs w:val="18"/>
        </w:rPr>
        <w:t>八、其他事项说明</w:t>
      </w:r>
    </w:p>
    <w:p w14:paraId="40B60CB1">
      <w:pPr>
        <w:autoSpaceDE w:val="0"/>
        <w:autoSpaceDN w:val="0"/>
        <w:adjustRightInd w:val="0"/>
        <w:spacing w:line="360" w:lineRule="auto"/>
        <w:ind w:firstLine="157" w:firstLineChars="75"/>
        <w:jc w:val="left"/>
        <w:rPr>
          <w:rFonts w:hAnsi="宋体"/>
          <w:color w:val="auto"/>
          <w:szCs w:val="24"/>
        </w:rPr>
      </w:pPr>
      <w:r>
        <w:rPr>
          <w:rFonts w:hint="eastAsia" w:hAnsi="宋体"/>
          <w:color w:val="auto"/>
          <w:szCs w:val="24"/>
        </w:rPr>
        <w:t>有任何疑问或问题，请在工作时间（周一至周五，上午8:00-11:30，下午14:30-17:30，节假日休息）与项目联系人联系。</w:t>
      </w:r>
    </w:p>
    <w:p w14:paraId="2F8C6ED5">
      <w:pPr>
        <w:pStyle w:val="3"/>
        <w:jc w:val="both"/>
        <w:rPr>
          <w:color w:val="auto"/>
        </w:rPr>
        <w:sectPr>
          <w:headerReference r:id="rId3" w:type="default"/>
          <w:footerReference r:id="rId4" w:type="default"/>
          <w:footerReference r:id="rId5" w:type="even"/>
          <w:footnotePr>
            <w:numFmt w:val="decimalEnclosedCircleChinese"/>
            <w:numRestart w:val="eachPage"/>
          </w:footnotePr>
          <w:pgSz w:w="11906" w:h="16838"/>
          <w:pgMar w:top="1588" w:right="1701" w:bottom="1418" w:left="1701" w:header="851" w:footer="851" w:gutter="0"/>
          <w:cols w:space="720" w:num="1"/>
          <w:docGrid w:type="lines" w:linePitch="312" w:charSpace="0"/>
        </w:sectPr>
      </w:pPr>
    </w:p>
    <w:p w14:paraId="5C0BA751">
      <w:pPr>
        <w:pStyle w:val="3"/>
        <w:jc w:val="center"/>
        <w:rPr>
          <w:rFonts w:hint="eastAsia" w:hAnsi="宋体"/>
          <w:sz w:val="40"/>
          <w:szCs w:val="21"/>
          <w:highlight w:val="none"/>
        </w:rPr>
      </w:pPr>
      <w:r>
        <w:rPr>
          <w:rFonts w:hint="eastAsia" w:hAnsi="宋体"/>
          <w:sz w:val="40"/>
          <w:szCs w:val="21"/>
          <w:highlight w:val="none"/>
        </w:rPr>
        <w:t>第二章  投标人须知</w:t>
      </w:r>
      <w:bookmarkEnd w:id="3"/>
    </w:p>
    <w:p w14:paraId="4D53AB1F">
      <w:pPr>
        <w:spacing w:before="120" w:after="120" w:line="415" w:lineRule="auto"/>
        <w:jc w:val="center"/>
        <w:outlineLvl w:val="9"/>
        <w:rPr>
          <w:rFonts w:ascii="黑体" w:hAnsi="黑体" w:eastAsia="黑体"/>
          <w:b/>
          <w:highlight w:val="none"/>
        </w:rPr>
      </w:pPr>
      <w:bookmarkStart w:id="4" w:name="_Toc38879315"/>
      <w:r>
        <w:rPr>
          <w:rFonts w:hint="eastAsia" w:ascii="黑体" w:hAnsi="黑体" w:eastAsia="黑体"/>
          <w:b/>
          <w:highlight w:val="none"/>
        </w:rPr>
        <w:t>投标人须知前附表</w:t>
      </w:r>
      <w:bookmarkEnd w:id="4"/>
    </w:p>
    <w:tbl>
      <w:tblPr>
        <w:tblStyle w:val="23"/>
        <w:tblW w:w="925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285"/>
        <w:gridCol w:w="6237"/>
      </w:tblGrid>
      <w:tr w14:paraId="4563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dxa"/>
            <w:noWrap w:val="0"/>
            <w:vAlign w:val="center"/>
          </w:tcPr>
          <w:p w14:paraId="0A7A5894">
            <w:pPr>
              <w:snapToGrid w:val="0"/>
              <w:jc w:val="center"/>
              <w:rPr>
                <w:rFonts w:hint="eastAsia" w:eastAsia="宋体"/>
                <w:b/>
                <w:szCs w:val="24"/>
                <w:highlight w:val="none"/>
                <w:lang w:val="en-US" w:eastAsia="zh-CN"/>
              </w:rPr>
            </w:pPr>
            <w:r>
              <w:rPr>
                <w:rFonts w:hint="eastAsia"/>
                <w:b/>
                <w:szCs w:val="24"/>
                <w:highlight w:val="none"/>
                <w:lang w:val="en-US" w:eastAsia="zh-CN"/>
              </w:rPr>
              <w:t>序号</w:t>
            </w:r>
          </w:p>
        </w:tc>
        <w:tc>
          <w:tcPr>
            <w:tcW w:w="2285" w:type="dxa"/>
            <w:noWrap w:val="0"/>
            <w:vAlign w:val="center"/>
          </w:tcPr>
          <w:p w14:paraId="300594FB">
            <w:pPr>
              <w:snapToGrid w:val="0"/>
              <w:jc w:val="center"/>
              <w:rPr>
                <w:rFonts w:hint="eastAsia"/>
                <w:b/>
                <w:szCs w:val="24"/>
                <w:highlight w:val="none"/>
              </w:rPr>
            </w:pPr>
            <w:r>
              <w:rPr>
                <w:rFonts w:hint="eastAsia"/>
                <w:b/>
                <w:szCs w:val="24"/>
                <w:highlight w:val="none"/>
              </w:rPr>
              <w:t>条 款 名 称</w:t>
            </w:r>
          </w:p>
        </w:tc>
        <w:tc>
          <w:tcPr>
            <w:tcW w:w="6237" w:type="dxa"/>
            <w:noWrap w:val="0"/>
            <w:vAlign w:val="center"/>
          </w:tcPr>
          <w:p w14:paraId="65A6022A">
            <w:pPr>
              <w:snapToGrid w:val="0"/>
              <w:jc w:val="center"/>
              <w:rPr>
                <w:rFonts w:hint="eastAsia"/>
                <w:b/>
                <w:szCs w:val="24"/>
                <w:highlight w:val="none"/>
              </w:rPr>
            </w:pPr>
            <w:r>
              <w:rPr>
                <w:rFonts w:hint="eastAsia"/>
                <w:b/>
                <w:szCs w:val="24"/>
                <w:highlight w:val="none"/>
              </w:rPr>
              <w:t>编 列 内 容</w:t>
            </w:r>
          </w:p>
        </w:tc>
      </w:tr>
      <w:tr w14:paraId="7824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02DFFAF2">
            <w:pPr>
              <w:snapToGrid w:val="0"/>
              <w:jc w:val="center"/>
              <w:rPr>
                <w:rFonts w:hint="eastAsia" w:eastAsia="宋体"/>
                <w:szCs w:val="24"/>
                <w:highlight w:val="none"/>
                <w:lang w:eastAsia="zh-CN"/>
              </w:rPr>
            </w:pPr>
            <w:r>
              <w:rPr>
                <w:rFonts w:hint="eastAsia"/>
                <w:szCs w:val="24"/>
                <w:highlight w:val="none"/>
                <w:lang w:val="en-US" w:eastAsia="zh-CN"/>
              </w:rPr>
              <w:t>1</w:t>
            </w:r>
          </w:p>
        </w:tc>
        <w:tc>
          <w:tcPr>
            <w:tcW w:w="2285" w:type="dxa"/>
            <w:noWrap w:val="0"/>
            <w:vAlign w:val="center"/>
          </w:tcPr>
          <w:p w14:paraId="37F68356">
            <w:pPr>
              <w:snapToGrid w:val="0"/>
              <w:rPr>
                <w:rFonts w:hint="eastAsia"/>
                <w:szCs w:val="24"/>
                <w:highlight w:val="none"/>
              </w:rPr>
            </w:pPr>
            <w:r>
              <w:rPr>
                <w:rFonts w:hint="eastAsia"/>
                <w:szCs w:val="24"/>
                <w:highlight w:val="none"/>
              </w:rPr>
              <w:t>招标人</w:t>
            </w:r>
          </w:p>
        </w:tc>
        <w:tc>
          <w:tcPr>
            <w:tcW w:w="6237" w:type="dxa"/>
            <w:noWrap w:val="0"/>
            <w:vAlign w:val="center"/>
          </w:tcPr>
          <w:p w14:paraId="198F4A04">
            <w:pPr>
              <w:snapToGrid w:val="0"/>
              <w:jc w:val="left"/>
              <w:rPr>
                <w:rFonts w:hint="eastAsia"/>
                <w:szCs w:val="24"/>
                <w:highlight w:val="none"/>
              </w:rPr>
            </w:pPr>
            <w:r>
              <w:rPr>
                <w:rFonts w:hint="eastAsia"/>
                <w:szCs w:val="24"/>
                <w:highlight w:val="none"/>
              </w:rPr>
              <w:t>见招标公告</w:t>
            </w:r>
          </w:p>
        </w:tc>
      </w:tr>
      <w:tr w14:paraId="6BCB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2734ED27">
            <w:pPr>
              <w:snapToGrid w:val="0"/>
              <w:jc w:val="center"/>
              <w:rPr>
                <w:rFonts w:hint="eastAsia" w:eastAsia="宋体"/>
                <w:szCs w:val="24"/>
                <w:highlight w:val="none"/>
                <w:lang w:eastAsia="zh-CN"/>
              </w:rPr>
            </w:pPr>
            <w:r>
              <w:rPr>
                <w:rFonts w:hint="eastAsia"/>
                <w:szCs w:val="24"/>
                <w:highlight w:val="none"/>
                <w:lang w:val="en-US" w:eastAsia="zh-CN"/>
              </w:rPr>
              <w:t>2</w:t>
            </w:r>
          </w:p>
        </w:tc>
        <w:tc>
          <w:tcPr>
            <w:tcW w:w="2285" w:type="dxa"/>
            <w:noWrap w:val="0"/>
            <w:vAlign w:val="center"/>
          </w:tcPr>
          <w:p w14:paraId="5CE42599">
            <w:pPr>
              <w:snapToGrid w:val="0"/>
              <w:rPr>
                <w:rFonts w:hint="eastAsia"/>
                <w:szCs w:val="24"/>
                <w:highlight w:val="none"/>
              </w:rPr>
            </w:pPr>
            <w:r>
              <w:rPr>
                <w:rFonts w:hint="eastAsia"/>
                <w:szCs w:val="24"/>
                <w:highlight w:val="none"/>
              </w:rPr>
              <w:t>招标代理机构</w:t>
            </w:r>
          </w:p>
        </w:tc>
        <w:tc>
          <w:tcPr>
            <w:tcW w:w="6237" w:type="dxa"/>
            <w:noWrap w:val="0"/>
            <w:vAlign w:val="center"/>
          </w:tcPr>
          <w:p w14:paraId="0E274C56">
            <w:pPr>
              <w:snapToGrid w:val="0"/>
              <w:jc w:val="left"/>
              <w:rPr>
                <w:rFonts w:hint="eastAsia" w:eastAsia="宋体"/>
                <w:szCs w:val="24"/>
                <w:highlight w:val="none"/>
                <w:lang w:eastAsia="zh-CN"/>
              </w:rPr>
            </w:pPr>
            <w:r>
              <w:rPr>
                <w:rFonts w:hint="eastAsia"/>
                <w:szCs w:val="24"/>
                <w:highlight w:val="none"/>
                <w:lang w:val="en-US" w:eastAsia="zh-CN"/>
              </w:rPr>
              <w:t>/</w:t>
            </w:r>
          </w:p>
        </w:tc>
      </w:tr>
      <w:tr w14:paraId="7989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75916B88">
            <w:pPr>
              <w:snapToGrid w:val="0"/>
              <w:jc w:val="center"/>
              <w:rPr>
                <w:rFonts w:hint="eastAsia" w:eastAsia="宋体"/>
                <w:szCs w:val="24"/>
                <w:highlight w:val="none"/>
                <w:lang w:eastAsia="zh-CN"/>
              </w:rPr>
            </w:pPr>
            <w:r>
              <w:rPr>
                <w:rFonts w:hint="eastAsia"/>
                <w:szCs w:val="24"/>
                <w:highlight w:val="none"/>
                <w:lang w:val="en-US" w:eastAsia="zh-CN"/>
              </w:rPr>
              <w:t>3</w:t>
            </w:r>
          </w:p>
        </w:tc>
        <w:tc>
          <w:tcPr>
            <w:tcW w:w="2285" w:type="dxa"/>
            <w:noWrap w:val="0"/>
            <w:vAlign w:val="center"/>
          </w:tcPr>
          <w:p w14:paraId="61C60053">
            <w:pPr>
              <w:snapToGrid w:val="0"/>
              <w:rPr>
                <w:rFonts w:hint="eastAsia"/>
                <w:szCs w:val="24"/>
                <w:highlight w:val="none"/>
              </w:rPr>
            </w:pPr>
            <w:r>
              <w:rPr>
                <w:rFonts w:hint="eastAsia"/>
                <w:szCs w:val="24"/>
                <w:highlight w:val="none"/>
              </w:rPr>
              <w:t>招标项目名称</w:t>
            </w:r>
          </w:p>
        </w:tc>
        <w:tc>
          <w:tcPr>
            <w:tcW w:w="6237" w:type="dxa"/>
            <w:noWrap w:val="0"/>
            <w:vAlign w:val="center"/>
          </w:tcPr>
          <w:p w14:paraId="3CC62AD9">
            <w:pPr>
              <w:snapToGrid w:val="0"/>
              <w:jc w:val="left"/>
              <w:rPr>
                <w:rFonts w:hint="eastAsia"/>
                <w:szCs w:val="24"/>
                <w:highlight w:val="none"/>
              </w:rPr>
            </w:pPr>
            <w:r>
              <w:rPr>
                <w:rFonts w:hint="eastAsia"/>
                <w:szCs w:val="24"/>
                <w:highlight w:val="none"/>
              </w:rPr>
              <w:t>见招标公告</w:t>
            </w:r>
          </w:p>
        </w:tc>
      </w:tr>
      <w:tr w14:paraId="345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103DFBE2">
            <w:pPr>
              <w:snapToGrid w:val="0"/>
              <w:jc w:val="center"/>
              <w:rPr>
                <w:rFonts w:hint="eastAsia" w:eastAsia="宋体"/>
                <w:szCs w:val="24"/>
                <w:highlight w:val="none"/>
                <w:lang w:eastAsia="zh-CN"/>
              </w:rPr>
            </w:pPr>
            <w:r>
              <w:rPr>
                <w:rFonts w:hint="eastAsia"/>
                <w:szCs w:val="24"/>
                <w:highlight w:val="none"/>
                <w:lang w:val="en-US" w:eastAsia="zh-CN"/>
              </w:rPr>
              <w:t>4</w:t>
            </w:r>
          </w:p>
        </w:tc>
        <w:tc>
          <w:tcPr>
            <w:tcW w:w="2285" w:type="dxa"/>
            <w:noWrap w:val="0"/>
            <w:vAlign w:val="center"/>
          </w:tcPr>
          <w:p w14:paraId="79B1CD85">
            <w:pPr>
              <w:snapToGrid w:val="0"/>
              <w:rPr>
                <w:rFonts w:hint="eastAsia"/>
                <w:szCs w:val="24"/>
                <w:highlight w:val="none"/>
              </w:rPr>
            </w:pPr>
            <w:r>
              <w:rPr>
                <w:rFonts w:hint="eastAsia"/>
                <w:szCs w:val="24"/>
                <w:highlight w:val="none"/>
                <w:lang w:eastAsia="zh-CN"/>
              </w:rPr>
              <w:t>项目</w:t>
            </w:r>
            <w:r>
              <w:rPr>
                <w:rFonts w:hint="eastAsia"/>
                <w:szCs w:val="24"/>
                <w:highlight w:val="none"/>
              </w:rPr>
              <w:t>地点</w:t>
            </w:r>
          </w:p>
        </w:tc>
        <w:tc>
          <w:tcPr>
            <w:tcW w:w="6237" w:type="dxa"/>
            <w:noWrap w:val="0"/>
            <w:vAlign w:val="center"/>
          </w:tcPr>
          <w:p w14:paraId="6EDCC079">
            <w:pPr>
              <w:snapToGrid w:val="0"/>
              <w:jc w:val="left"/>
              <w:rPr>
                <w:rFonts w:hint="eastAsia"/>
                <w:szCs w:val="24"/>
                <w:highlight w:val="none"/>
              </w:rPr>
            </w:pPr>
            <w:r>
              <w:rPr>
                <w:rFonts w:hint="eastAsia"/>
                <w:szCs w:val="24"/>
                <w:highlight w:val="none"/>
              </w:rPr>
              <w:t>见招标公告</w:t>
            </w:r>
          </w:p>
        </w:tc>
      </w:tr>
      <w:tr w14:paraId="6C6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424FEE4F">
            <w:pPr>
              <w:snapToGrid w:val="0"/>
              <w:jc w:val="center"/>
              <w:rPr>
                <w:rFonts w:hint="eastAsia" w:eastAsia="宋体"/>
                <w:szCs w:val="24"/>
                <w:highlight w:val="none"/>
                <w:lang w:eastAsia="zh-CN"/>
              </w:rPr>
            </w:pPr>
            <w:r>
              <w:rPr>
                <w:rFonts w:hint="eastAsia"/>
                <w:szCs w:val="24"/>
                <w:highlight w:val="none"/>
                <w:lang w:val="en-US" w:eastAsia="zh-CN"/>
              </w:rPr>
              <w:t>5</w:t>
            </w:r>
          </w:p>
        </w:tc>
        <w:tc>
          <w:tcPr>
            <w:tcW w:w="2285" w:type="dxa"/>
            <w:noWrap w:val="0"/>
            <w:vAlign w:val="center"/>
          </w:tcPr>
          <w:p w14:paraId="297CC41E">
            <w:pPr>
              <w:snapToGrid w:val="0"/>
              <w:rPr>
                <w:rFonts w:hint="eastAsia"/>
                <w:color w:val="auto"/>
                <w:szCs w:val="24"/>
                <w:highlight w:val="none"/>
              </w:rPr>
            </w:pPr>
            <w:r>
              <w:rPr>
                <w:rFonts w:hint="eastAsia"/>
                <w:color w:val="auto"/>
                <w:szCs w:val="24"/>
                <w:highlight w:val="none"/>
              </w:rPr>
              <w:t>资金落实情况</w:t>
            </w:r>
          </w:p>
        </w:tc>
        <w:tc>
          <w:tcPr>
            <w:tcW w:w="6237" w:type="dxa"/>
            <w:noWrap w:val="0"/>
            <w:vAlign w:val="center"/>
          </w:tcPr>
          <w:p w14:paraId="0441B9BE">
            <w:pPr>
              <w:snapToGrid w:val="0"/>
              <w:rPr>
                <w:rFonts w:hint="eastAsia"/>
                <w:color w:val="auto"/>
                <w:szCs w:val="24"/>
                <w:highlight w:val="none"/>
              </w:rPr>
            </w:pPr>
            <w:r>
              <w:rPr>
                <w:rFonts w:hAnsi="宋体" w:cs="宋体"/>
                <w:color w:val="auto"/>
                <w:szCs w:val="24"/>
                <w:highlight w:val="none"/>
              </w:rPr>
              <w:t>已落实</w:t>
            </w:r>
          </w:p>
        </w:tc>
      </w:tr>
      <w:tr w14:paraId="726B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72AE58E3">
            <w:pPr>
              <w:snapToGrid w:val="0"/>
              <w:jc w:val="center"/>
              <w:rPr>
                <w:rFonts w:hint="eastAsia" w:eastAsia="宋体"/>
                <w:szCs w:val="24"/>
                <w:highlight w:val="none"/>
                <w:lang w:eastAsia="zh-CN"/>
              </w:rPr>
            </w:pPr>
            <w:r>
              <w:rPr>
                <w:rFonts w:hint="eastAsia"/>
                <w:szCs w:val="24"/>
                <w:highlight w:val="none"/>
                <w:lang w:val="en-US" w:eastAsia="zh-CN"/>
              </w:rPr>
              <w:t>6</w:t>
            </w:r>
          </w:p>
        </w:tc>
        <w:tc>
          <w:tcPr>
            <w:tcW w:w="2285" w:type="dxa"/>
            <w:noWrap w:val="0"/>
            <w:vAlign w:val="center"/>
          </w:tcPr>
          <w:p w14:paraId="5AEC458C">
            <w:pPr>
              <w:snapToGrid w:val="0"/>
              <w:rPr>
                <w:rFonts w:hint="eastAsia"/>
                <w:color w:val="auto"/>
                <w:szCs w:val="24"/>
                <w:highlight w:val="none"/>
              </w:rPr>
            </w:pPr>
            <w:r>
              <w:rPr>
                <w:rFonts w:hint="eastAsia"/>
                <w:color w:val="auto"/>
                <w:szCs w:val="24"/>
                <w:highlight w:val="none"/>
              </w:rPr>
              <w:t>招标范围</w:t>
            </w:r>
          </w:p>
        </w:tc>
        <w:tc>
          <w:tcPr>
            <w:tcW w:w="6237" w:type="dxa"/>
            <w:noWrap w:val="0"/>
            <w:vAlign w:val="center"/>
          </w:tcPr>
          <w:p w14:paraId="7DAB72DC">
            <w:pPr>
              <w:snapToGrid w:val="0"/>
              <w:rPr>
                <w:rFonts w:hint="eastAsia"/>
                <w:color w:val="auto"/>
                <w:szCs w:val="24"/>
                <w:highlight w:val="none"/>
              </w:rPr>
            </w:pPr>
            <w:r>
              <w:rPr>
                <w:rFonts w:hint="eastAsia" w:hAnsi="宋体" w:cs="宋体"/>
                <w:color w:val="auto"/>
                <w:szCs w:val="24"/>
                <w:highlight w:val="none"/>
                <w:lang w:eastAsia="zh-CN"/>
              </w:rPr>
              <w:t>磋商文件、</w:t>
            </w:r>
            <w:r>
              <w:rPr>
                <w:rFonts w:hint="eastAsia" w:hAnsi="宋体" w:cs="宋体"/>
                <w:color w:val="auto"/>
                <w:szCs w:val="24"/>
                <w:highlight w:val="none"/>
              </w:rPr>
              <w:t>补疑</w:t>
            </w:r>
            <w:r>
              <w:rPr>
                <w:rFonts w:hint="eastAsia" w:hAnsi="宋体" w:cs="宋体"/>
                <w:color w:val="auto"/>
                <w:szCs w:val="24"/>
                <w:highlight w:val="none"/>
                <w:lang w:eastAsia="zh-CN"/>
              </w:rPr>
              <w:t>（如有）</w:t>
            </w:r>
            <w:r>
              <w:rPr>
                <w:rFonts w:hAnsi="宋体" w:cs="宋体"/>
                <w:color w:val="auto"/>
                <w:szCs w:val="24"/>
                <w:highlight w:val="none"/>
              </w:rPr>
              <w:t>等文件</w:t>
            </w:r>
          </w:p>
        </w:tc>
      </w:tr>
      <w:tr w14:paraId="1CD6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30AA27AC">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7</w:t>
            </w:r>
          </w:p>
        </w:tc>
        <w:tc>
          <w:tcPr>
            <w:tcW w:w="2285" w:type="dxa"/>
            <w:noWrap w:val="0"/>
            <w:vAlign w:val="center"/>
          </w:tcPr>
          <w:p w14:paraId="191B47C5">
            <w:pPr>
              <w:snapToGrid w:val="0"/>
              <w:rPr>
                <w:rFonts w:hint="default" w:eastAsia="宋体"/>
                <w:szCs w:val="24"/>
                <w:highlight w:val="none"/>
                <w:lang w:val="en-US" w:eastAsia="zh-CN"/>
              </w:rPr>
            </w:pPr>
            <w:r>
              <w:rPr>
                <w:rFonts w:hint="eastAsia"/>
                <w:szCs w:val="24"/>
                <w:highlight w:val="none"/>
                <w:lang w:val="en-US" w:eastAsia="zh-CN"/>
              </w:rPr>
              <w:t>服务期限</w:t>
            </w:r>
          </w:p>
        </w:tc>
        <w:tc>
          <w:tcPr>
            <w:tcW w:w="6237" w:type="dxa"/>
            <w:noWrap w:val="0"/>
            <w:vAlign w:val="center"/>
          </w:tcPr>
          <w:p w14:paraId="6411B318">
            <w:pPr>
              <w:snapToGrid w:val="0"/>
              <w:rPr>
                <w:rFonts w:hint="default"/>
                <w:color w:val="auto"/>
                <w:szCs w:val="24"/>
                <w:highlight w:val="none"/>
                <w:lang w:val="en-US"/>
              </w:rPr>
            </w:pPr>
            <w:r>
              <w:rPr>
                <w:rFonts w:hint="eastAsia" w:ascii="Times New Roman" w:hAnsi="宋体" w:eastAsia="宋体" w:cs="宋体"/>
                <w:color w:val="auto"/>
                <w:szCs w:val="24"/>
                <w:highlight w:val="none"/>
                <w:lang w:val="en-US" w:eastAsia="zh-CN"/>
              </w:rPr>
              <w:t>自合同签订之日起一年。合同到期后，双方无异议，可续签下一年合同，最多续签两次。</w:t>
            </w:r>
          </w:p>
        </w:tc>
      </w:tr>
      <w:tr w14:paraId="5458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E726B7C">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8</w:t>
            </w:r>
          </w:p>
        </w:tc>
        <w:tc>
          <w:tcPr>
            <w:tcW w:w="2285" w:type="dxa"/>
            <w:noWrap w:val="0"/>
            <w:vAlign w:val="center"/>
          </w:tcPr>
          <w:p w14:paraId="6B876741">
            <w:pPr>
              <w:snapToGrid w:val="0"/>
              <w:rPr>
                <w:rFonts w:hint="eastAsia"/>
                <w:szCs w:val="24"/>
                <w:highlight w:val="none"/>
              </w:rPr>
            </w:pPr>
            <w:r>
              <w:rPr>
                <w:rFonts w:hint="eastAsia"/>
                <w:szCs w:val="24"/>
                <w:highlight w:val="none"/>
              </w:rPr>
              <w:t>是否接受联合体投标</w:t>
            </w:r>
          </w:p>
        </w:tc>
        <w:tc>
          <w:tcPr>
            <w:tcW w:w="6237" w:type="dxa"/>
            <w:noWrap w:val="0"/>
            <w:vAlign w:val="center"/>
          </w:tcPr>
          <w:p w14:paraId="1CA75120">
            <w:pPr>
              <w:snapToGrid w:val="0"/>
              <w:rPr>
                <w:rFonts w:hint="default" w:eastAsia="宋体"/>
                <w:color w:val="FF0000"/>
                <w:szCs w:val="24"/>
                <w:highlight w:val="none"/>
                <w:lang w:val="en-US" w:eastAsia="zh-CN"/>
              </w:rPr>
            </w:pPr>
            <w:r>
              <w:rPr>
                <w:rFonts w:hint="eastAsia"/>
                <w:color w:val="auto"/>
                <w:szCs w:val="24"/>
                <w:highlight w:val="none"/>
              </w:rPr>
              <w:sym w:font="Wingdings 2" w:char="0052"/>
            </w:r>
            <w:r>
              <w:rPr>
                <w:rFonts w:hint="eastAsia"/>
                <w:color w:val="auto"/>
                <w:szCs w:val="24"/>
                <w:highlight w:val="none"/>
              </w:rPr>
              <w:t>不接受</w:t>
            </w:r>
            <w:r>
              <w:rPr>
                <w:rFonts w:hint="eastAsia"/>
                <w:color w:val="auto"/>
                <w:szCs w:val="24"/>
                <w:highlight w:val="none"/>
                <w:lang w:val="en-US" w:eastAsia="zh-CN"/>
              </w:rPr>
              <w:t xml:space="preserve">    </w:t>
            </w:r>
            <w:r>
              <w:rPr>
                <w:rFonts w:hint="eastAsia"/>
                <w:color w:val="auto"/>
                <w:szCs w:val="24"/>
                <w:highlight w:val="none"/>
              </w:rPr>
              <w:sym w:font="Wingdings 2" w:char="00A3"/>
            </w:r>
            <w:r>
              <w:rPr>
                <w:rFonts w:hint="eastAsia"/>
                <w:color w:val="auto"/>
                <w:szCs w:val="24"/>
                <w:highlight w:val="none"/>
              </w:rPr>
              <w:t>接受</w:t>
            </w:r>
          </w:p>
        </w:tc>
      </w:tr>
      <w:tr w14:paraId="28FF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7" w:type="dxa"/>
            <w:noWrap w:val="0"/>
            <w:vAlign w:val="center"/>
          </w:tcPr>
          <w:p w14:paraId="53C2073E">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9</w:t>
            </w:r>
          </w:p>
        </w:tc>
        <w:tc>
          <w:tcPr>
            <w:tcW w:w="2285" w:type="dxa"/>
            <w:noWrap w:val="0"/>
            <w:vAlign w:val="center"/>
          </w:tcPr>
          <w:p w14:paraId="6D45A152">
            <w:pPr>
              <w:snapToGrid w:val="0"/>
              <w:rPr>
                <w:rFonts w:hint="eastAsia"/>
                <w:szCs w:val="24"/>
                <w:highlight w:val="none"/>
              </w:rPr>
            </w:pPr>
            <w:r>
              <w:rPr>
                <w:rFonts w:hint="eastAsia"/>
                <w:szCs w:val="24"/>
                <w:highlight w:val="none"/>
              </w:rPr>
              <w:t>踏勘现场</w:t>
            </w:r>
          </w:p>
        </w:tc>
        <w:tc>
          <w:tcPr>
            <w:tcW w:w="6237" w:type="dxa"/>
            <w:noWrap w:val="0"/>
            <w:vAlign w:val="center"/>
          </w:tcPr>
          <w:p w14:paraId="069745BD">
            <w:pPr>
              <w:snapToGrid w:val="0"/>
              <w:rPr>
                <w:rFonts w:hint="eastAsia"/>
                <w:szCs w:val="24"/>
                <w:highlight w:val="none"/>
                <w:lang w:eastAsia="zh-CN"/>
              </w:rPr>
            </w:pPr>
            <w:r>
              <w:rPr>
                <w:rFonts w:hint="eastAsia"/>
                <w:szCs w:val="24"/>
                <w:highlight w:val="none"/>
              </w:rPr>
              <w:sym w:font="Wingdings 2" w:char="0052"/>
            </w:r>
            <w:r>
              <w:rPr>
                <w:rFonts w:hint="eastAsia"/>
                <w:szCs w:val="24"/>
                <w:highlight w:val="none"/>
              </w:rPr>
              <w:t>不组织，投标人自行踏勘</w:t>
            </w:r>
            <w:r>
              <w:rPr>
                <w:rFonts w:hint="eastAsia"/>
                <w:szCs w:val="24"/>
                <w:highlight w:val="none"/>
                <w:lang w:eastAsia="zh-CN"/>
              </w:rPr>
              <w:t>，</w:t>
            </w:r>
          </w:p>
          <w:p w14:paraId="325E2455">
            <w:pPr>
              <w:snapToGrid w:val="0"/>
              <w:rPr>
                <w:rFonts w:hint="eastAsia" w:ascii="宋体"/>
                <w:sz w:val="24"/>
                <w:szCs w:val="24"/>
                <w:lang w:val="en-US" w:eastAsia="zh-CN"/>
              </w:rPr>
            </w:pPr>
            <w:r>
              <w:rPr>
                <w:rFonts w:hint="eastAsia"/>
                <w:szCs w:val="24"/>
                <w:highlight w:val="none"/>
                <w:lang w:val="en-US" w:eastAsia="zh-CN"/>
              </w:rPr>
              <w:t>现场项目负责人：</w:t>
            </w:r>
            <w:r>
              <w:rPr>
                <w:rFonts w:hint="eastAsia" w:ascii="宋体"/>
                <w:sz w:val="24"/>
                <w:szCs w:val="24"/>
                <w:lang w:val="en-US" w:eastAsia="zh-CN"/>
              </w:rPr>
              <w:t>代工</w:t>
            </w:r>
            <w:r>
              <w:rPr>
                <w:rFonts w:hint="eastAsia"/>
                <w:szCs w:val="24"/>
                <w:highlight w:val="none"/>
                <w:lang w:val="en-US" w:eastAsia="zh-CN"/>
              </w:rPr>
              <w:t xml:space="preserve">   联系方式：</w:t>
            </w:r>
            <w:r>
              <w:rPr>
                <w:rFonts w:hint="eastAsia" w:ascii="宋体"/>
                <w:sz w:val="24"/>
                <w:szCs w:val="24"/>
                <w:lang w:val="en-US" w:eastAsia="zh-CN"/>
              </w:rPr>
              <w:t>15655113027</w:t>
            </w:r>
          </w:p>
          <w:p w14:paraId="70AE768D">
            <w:pPr>
              <w:snapToGrid w:val="0"/>
              <w:rPr>
                <w:rFonts w:hint="eastAsia"/>
                <w:szCs w:val="24"/>
                <w:highlight w:val="none"/>
              </w:rPr>
            </w:pPr>
            <w:r>
              <w:rPr>
                <w:rFonts w:hint="eastAsia"/>
                <w:szCs w:val="24"/>
                <w:highlight w:val="none"/>
                <w:lang w:eastAsia="zh-CN"/>
              </w:rPr>
              <w:t>□</w:t>
            </w:r>
            <w:r>
              <w:rPr>
                <w:rFonts w:hint="eastAsia"/>
                <w:szCs w:val="24"/>
                <w:highlight w:val="none"/>
              </w:rPr>
              <w:t>组织，踏勘时间：</w:t>
            </w:r>
          </w:p>
          <w:p w14:paraId="73C9DCDF">
            <w:pPr>
              <w:snapToGrid w:val="0"/>
              <w:rPr>
                <w:rFonts w:hint="eastAsia"/>
                <w:szCs w:val="24"/>
                <w:highlight w:val="none"/>
              </w:rPr>
            </w:pPr>
            <w:r>
              <w:rPr>
                <w:rFonts w:hint="eastAsia"/>
                <w:szCs w:val="24"/>
                <w:highlight w:val="none"/>
              </w:rPr>
              <w:t xml:space="preserve">        踏勘集中地点：</w:t>
            </w:r>
          </w:p>
        </w:tc>
      </w:tr>
      <w:tr w14:paraId="4EFF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7D0391F">
            <w:pPr>
              <w:snapToGrid w:val="0"/>
              <w:jc w:val="center"/>
              <w:rPr>
                <w:rFonts w:hint="default" w:ascii="宋体" w:hAnsi="Times New Roman" w:eastAsia="宋体" w:cs="Times New Roman"/>
                <w:snapToGrid w:val="0"/>
                <w:sz w:val="24"/>
                <w:szCs w:val="24"/>
                <w:highlight w:val="none"/>
                <w:lang w:val="en-US" w:eastAsia="zh-CN" w:bidi="ar-SA"/>
              </w:rPr>
            </w:pPr>
            <w:r>
              <w:rPr>
                <w:rFonts w:hint="eastAsia"/>
                <w:szCs w:val="24"/>
                <w:highlight w:val="none"/>
                <w:lang w:val="en-US" w:eastAsia="zh-CN"/>
              </w:rPr>
              <w:t>10</w:t>
            </w:r>
          </w:p>
        </w:tc>
        <w:tc>
          <w:tcPr>
            <w:tcW w:w="2285" w:type="dxa"/>
            <w:noWrap w:val="0"/>
            <w:vAlign w:val="center"/>
          </w:tcPr>
          <w:p w14:paraId="6D7F281D">
            <w:pPr>
              <w:snapToGrid w:val="0"/>
              <w:rPr>
                <w:rFonts w:hint="eastAsia"/>
                <w:szCs w:val="24"/>
                <w:highlight w:val="none"/>
              </w:rPr>
            </w:pPr>
            <w:r>
              <w:rPr>
                <w:rFonts w:hint="eastAsia"/>
                <w:szCs w:val="24"/>
                <w:highlight w:val="none"/>
              </w:rPr>
              <w:t>分包</w:t>
            </w:r>
          </w:p>
        </w:tc>
        <w:tc>
          <w:tcPr>
            <w:tcW w:w="6237" w:type="dxa"/>
            <w:noWrap w:val="0"/>
            <w:vAlign w:val="center"/>
          </w:tcPr>
          <w:p w14:paraId="0E53094F">
            <w:pPr>
              <w:snapToGrid w:val="0"/>
              <w:rPr>
                <w:rFonts w:hint="eastAsia"/>
                <w:szCs w:val="24"/>
                <w:highlight w:val="none"/>
              </w:rPr>
            </w:pPr>
            <w:r>
              <w:rPr>
                <w:rFonts w:hint="eastAsia" w:ascii="MS Mincho" w:hAnsi="MS Mincho" w:eastAsia="MS Mincho" w:cs="MS Mincho"/>
                <w:szCs w:val="24"/>
                <w:highlight w:val="none"/>
              </w:rPr>
              <w:t>☑</w:t>
            </w:r>
            <w:r>
              <w:rPr>
                <w:rFonts w:hint="eastAsia"/>
                <w:szCs w:val="24"/>
                <w:highlight w:val="none"/>
              </w:rPr>
              <w:t>不允许</w:t>
            </w:r>
          </w:p>
        </w:tc>
      </w:tr>
      <w:tr w14:paraId="524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7" w:type="dxa"/>
            <w:noWrap w:val="0"/>
            <w:vAlign w:val="center"/>
          </w:tcPr>
          <w:p w14:paraId="0AE987E0">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11</w:t>
            </w:r>
          </w:p>
        </w:tc>
        <w:tc>
          <w:tcPr>
            <w:tcW w:w="2285" w:type="dxa"/>
            <w:noWrap w:val="0"/>
            <w:vAlign w:val="center"/>
          </w:tcPr>
          <w:p w14:paraId="0B9FA53B">
            <w:pPr>
              <w:kinsoku w:val="0"/>
              <w:overflowPunct w:val="0"/>
              <w:autoSpaceDE w:val="0"/>
              <w:autoSpaceDN w:val="0"/>
              <w:adjustRightInd w:val="0"/>
              <w:snapToGrid w:val="0"/>
              <w:ind w:left="105" w:leftChars="50" w:right="105" w:rightChars="50"/>
              <w:jc w:val="center"/>
              <w:rPr>
                <w:snapToGrid w:val="0"/>
                <w:szCs w:val="24"/>
                <w:highlight w:val="none"/>
              </w:rPr>
            </w:pPr>
            <w:r>
              <w:rPr>
                <w:rFonts w:hint="eastAsia"/>
                <w:snapToGrid w:val="0"/>
                <w:szCs w:val="24"/>
                <w:highlight w:val="none"/>
                <w:lang w:eastAsia="zh-CN"/>
              </w:rPr>
              <w:t>磋商文件</w:t>
            </w:r>
            <w:r>
              <w:rPr>
                <w:snapToGrid w:val="0"/>
                <w:szCs w:val="24"/>
                <w:highlight w:val="none"/>
              </w:rPr>
              <w:t>修改发出的形式</w:t>
            </w:r>
          </w:p>
        </w:tc>
        <w:tc>
          <w:tcPr>
            <w:tcW w:w="6237" w:type="dxa"/>
            <w:noWrap w:val="0"/>
            <w:vAlign w:val="center"/>
          </w:tcPr>
          <w:p w14:paraId="37AEC400">
            <w:pPr>
              <w:autoSpaceDE w:val="0"/>
              <w:autoSpaceDN w:val="0"/>
              <w:adjustRightInd w:val="0"/>
              <w:snapToGrid w:val="0"/>
              <w:ind w:right="105" w:rightChars="50"/>
              <w:jc w:val="left"/>
              <w:rPr>
                <w:snapToGrid w:val="0"/>
                <w:szCs w:val="24"/>
                <w:highlight w:val="none"/>
              </w:rPr>
            </w:pPr>
            <w:r>
              <w:rPr>
                <w:rFonts w:hint="eastAsia"/>
                <w:bCs/>
                <w:snapToGrid w:val="0"/>
                <w:szCs w:val="24"/>
                <w:highlight w:val="none"/>
                <w:lang w:eastAsia="zh-CN"/>
              </w:rPr>
              <w:t>通过招标人</w:t>
            </w:r>
            <w:r>
              <w:rPr>
                <w:rFonts w:hint="eastAsia"/>
                <w:bCs/>
                <w:snapToGrid w:val="0"/>
                <w:szCs w:val="24"/>
                <w:highlight w:val="none"/>
                <w:lang w:val="en-US" w:eastAsia="zh-CN"/>
              </w:rPr>
              <w:t>官方公众号</w:t>
            </w:r>
            <w:r>
              <w:rPr>
                <w:rFonts w:hint="eastAsia"/>
                <w:snapToGrid w:val="0"/>
                <w:szCs w:val="24"/>
                <w:highlight w:val="none"/>
              </w:rPr>
              <w:t>发出</w:t>
            </w:r>
          </w:p>
        </w:tc>
      </w:tr>
      <w:tr w14:paraId="6B91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7" w:type="dxa"/>
            <w:vMerge w:val="restart"/>
            <w:noWrap w:val="0"/>
            <w:vAlign w:val="center"/>
          </w:tcPr>
          <w:p w14:paraId="09C2FA70">
            <w:pPr>
              <w:snapToGrid w:val="0"/>
              <w:jc w:val="center"/>
              <w:rPr>
                <w:rFonts w:hint="default"/>
                <w:szCs w:val="24"/>
                <w:highlight w:val="none"/>
                <w:lang w:val="en-US"/>
              </w:rPr>
            </w:pPr>
            <w:r>
              <w:rPr>
                <w:rFonts w:hint="eastAsia"/>
                <w:szCs w:val="24"/>
                <w:highlight w:val="none"/>
                <w:lang w:val="en-US" w:eastAsia="zh-CN"/>
              </w:rPr>
              <w:t>12</w:t>
            </w:r>
          </w:p>
        </w:tc>
        <w:tc>
          <w:tcPr>
            <w:tcW w:w="2285" w:type="dxa"/>
            <w:vMerge w:val="restart"/>
            <w:noWrap w:val="0"/>
            <w:vAlign w:val="center"/>
          </w:tcPr>
          <w:p w14:paraId="23F2BDDB">
            <w:pPr>
              <w:snapToGrid w:val="0"/>
              <w:jc w:val="center"/>
              <w:rPr>
                <w:rFonts w:hint="eastAsia"/>
                <w:color w:val="auto"/>
                <w:sz w:val="24"/>
                <w:highlight w:val="none"/>
                <w:lang w:eastAsia="zh-CN"/>
              </w:rPr>
            </w:pPr>
            <w:r>
              <w:rPr>
                <w:rFonts w:hint="eastAsia"/>
                <w:color w:val="auto"/>
                <w:sz w:val="24"/>
                <w:highlight w:val="none"/>
                <w:lang w:eastAsia="zh-CN"/>
              </w:rPr>
              <w:t>磋商文件的</w:t>
            </w:r>
          </w:p>
          <w:p w14:paraId="7385A679">
            <w:pPr>
              <w:snapToGrid w:val="0"/>
              <w:jc w:val="center"/>
              <w:rPr>
                <w:rFonts w:hint="eastAsia"/>
                <w:color w:val="auto"/>
                <w:szCs w:val="24"/>
                <w:highlight w:val="none"/>
              </w:rPr>
            </w:pPr>
            <w:r>
              <w:rPr>
                <w:rFonts w:hint="eastAsia"/>
                <w:color w:val="auto"/>
                <w:sz w:val="24"/>
                <w:highlight w:val="none"/>
                <w:lang w:eastAsia="zh-CN"/>
              </w:rPr>
              <w:t>异议</w:t>
            </w:r>
          </w:p>
        </w:tc>
        <w:tc>
          <w:tcPr>
            <w:tcW w:w="6237" w:type="dxa"/>
            <w:noWrap w:val="0"/>
            <w:vAlign w:val="center"/>
          </w:tcPr>
          <w:p w14:paraId="23F2E77A">
            <w:pPr>
              <w:snapToGrid w:val="0"/>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时间：</w:t>
            </w:r>
            <w:r>
              <w:rPr>
                <w:rFonts w:hint="eastAsia"/>
                <w:color w:val="auto"/>
                <w:sz w:val="24"/>
                <w:highlight w:val="none"/>
                <w:lang w:val="en-US" w:eastAsia="zh-CN"/>
              </w:rPr>
              <w:t>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19</w:t>
            </w:r>
            <w:r>
              <w:rPr>
                <w:rFonts w:hint="eastAsia"/>
                <w:color w:val="auto"/>
                <w:sz w:val="24"/>
                <w:highlight w:val="none"/>
              </w:rPr>
              <w:t>日</w:t>
            </w:r>
            <w:r>
              <w:rPr>
                <w:rFonts w:hint="eastAsia"/>
                <w:color w:val="auto"/>
                <w:sz w:val="24"/>
                <w:highlight w:val="none"/>
                <w:lang w:val="en-US" w:eastAsia="zh-CN"/>
              </w:rPr>
              <w:t>17</w:t>
            </w:r>
            <w:r>
              <w:rPr>
                <w:rFonts w:hint="eastAsia"/>
                <w:color w:val="auto"/>
                <w:sz w:val="24"/>
                <w:highlight w:val="none"/>
              </w:rPr>
              <w:t>时</w:t>
            </w:r>
            <w:r>
              <w:rPr>
                <w:rFonts w:hint="eastAsia"/>
                <w:color w:val="auto"/>
                <w:sz w:val="24"/>
                <w:highlight w:val="none"/>
                <w:lang w:val="en-US" w:eastAsia="zh-CN"/>
              </w:rPr>
              <w:t>30</w:t>
            </w:r>
            <w:r>
              <w:rPr>
                <w:rFonts w:hint="eastAsia"/>
                <w:color w:val="auto"/>
                <w:sz w:val="24"/>
                <w:highlight w:val="none"/>
              </w:rPr>
              <w:t>分前</w:t>
            </w:r>
            <w:r>
              <w:rPr>
                <w:rFonts w:hint="eastAsia"/>
                <w:bCs/>
                <w:snapToGrid w:val="0"/>
                <w:color w:val="auto"/>
                <w:kern w:val="0"/>
                <w:sz w:val="24"/>
                <w:highlight w:val="none"/>
              </w:rPr>
              <w:t>。</w:t>
            </w:r>
          </w:p>
        </w:tc>
      </w:tr>
      <w:tr w14:paraId="28F0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37" w:type="dxa"/>
            <w:vMerge w:val="continue"/>
            <w:noWrap w:val="0"/>
            <w:vAlign w:val="center"/>
          </w:tcPr>
          <w:p w14:paraId="53CFCB62">
            <w:pPr>
              <w:snapToGrid w:val="0"/>
              <w:jc w:val="center"/>
              <w:rPr>
                <w:rFonts w:hint="eastAsia" w:ascii="宋体" w:hAnsi="Times New Roman" w:eastAsia="宋体" w:cs="Times New Roman"/>
                <w:sz w:val="24"/>
                <w:szCs w:val="24"/>
                <w:highlight w:val="none"/>
                <w:lang w:val="en-US" w:eastAsia="zh-CN" w:bidi="ar-SA"/>
              </w:rPr>
            </w:pPr>
          </w:p>
        </w:tc>
        <w:tc>
          <w:tcPr>
            <w:tcW w:w="2285" w:type="dxa"/>
            <w:vMerge w:val="continue"/>
            <w:noWrap w:val="0"/>
            <w:vAlign w:val="center"/>
          </w:tcPr>
          <w:p w14:paraId="0B7CACFC">
            <w:pPr>
              <w:snapToGrid w:val="0"/>
              <w:rPr>
                <w:rFonts w:hint="eastAsia"/>
                <w:szCs w:val="24"/>
                <w:highlight w:val="none"/>
              </w:rPr>
            </w:pPr>
          </w:p>
        </w:tc>
        <w:tc>
          <w:tcPr>
            <w:tcW w:w="6237" w:type="dxa"/>
            <w:noWrap w:val="0"/>
            <w:vAlign w:val="center"/>
          </w:tcPr>
          <w:p w14:paraId="3C928214">
            <w:pPr>
              <w:snapToGrid w:val="0"/>
              <w:rPr>
                <w:rFonts w:hint="eastAsia" w:ascii="宋体"/>
                <w:kern w:val="2"/>
                <w:sz w:val="24"/>
                <w:szCs w:val="24"/>
                <w:highlight w:val="none"/>
                <w:lang w:val="en-US" w:eastAsia="zh-CN" w:bidi="ar-SA"/>
              </w:rPr>
            </w:pPr>
            <w:r>
              <w:rPr>
                <w:rFonts w:hint="eastAsia"/>
                <w:bCs/>
                <w:snapToGrid w:val="0"/>
                <w:kern w:val="0"/>
                <w:sz w:val="24"/>
                <w:highlight w:val="none"/>
              </w:rPr>
              <w:t>形式：</w:t>
            </w:r>
            <w:r>
              <w:rPr>
                <w:rFonts w:hint="eastAsia"/>
                <w:bCs/>
                <w:snapToGrid w:val="0"/>
                <w:kern w:val="0"/>
                <w:sz w:val="24"/>
                <w:highlight w:val="none"/>
                <w:lang w:eastAsia="zh-CN"/>
              </w:rPr>
              <w:t>纸质</w:t>
            </w:r>
            <w:r>
              <w:rPr>
                <w:rFonts w:hint="eastAsia"/>
                <w:bCs/>
                <w:snapToGrid w:val="0"/>
                <w:kern w:val="0"/>
                <w:sz w:val="24"/>
                <w:highlight w:val="none"/>
              </w:rPr>
              <w:t>提交。</w:t>
            </w:r>
          </w:p>
        </w:tc>
      </w:tr>
      <w:tr w14:paraId="5EA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04A5633">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13</w:t>
            </w:r>
          </w:p>
        </w:tc>
        <w:tc>
          <w:tcPr>
            <w:tcW w:w="2285" w:type="dxa"/>
            <w:noWrap w:val="0"/>
            <w:vAlign w:val="center"/>
          </w:tcPr>
          <w:p w14:paraId="215BE04D">
            <w:pPr>
              <w:snapToGrid w:val="0"/>
              <w:rPr>
                <w:rFonts w:hint="eastAsia"/>
                <w:szCs w:val="24"/>
                <w:highlight w:val="none"/>
              </w:rPr>
            </w:pPr>
            <w:r>
              <w:rPr>
                <w:rFonts w:hint="eastAsia" w:hAnsi="宋体"/>
                <w:szCs w:val="24"/>
                <w:highlight w:val="none"/>
              </w:rPr>
              <w:t>增值税税金相关要求</w:t>
            </w:r>
          </w:p>
        </w:tc>
        <w:tc>
          <w:tcPr>
            <w:tcW w:w="6237" w:type="dxa"/>
            <w:noWrap w:val="0"/>
            <w:vAlign w:val="center"/>
          </w:tcPr>
          <w:p w14:paraId="710E0055">
            <w:pPr>
              <w:snapToGrid w:val="0"/>
              <w:rPr>
                <w:rFonts w:hint="eastAsia"/>
                <w:bCs/>
                <w:snapToGrid w:val="0"/>
                <w:szCs w:val="24"/>
                <w:highlight w:val="none"/>
              </w:rPr>
            </w:pPr>
            <w:r>
              <w:rPr>
                <w:rFonts w:hint="eastAsia"/>
                <w:bCs/>
                <w:snapToGrid w:val="0"/>
                <w:szCs w:val="24"/>
                <w:highlight w:val="none"/>
              </w:rPr>
              <w:t>（1）计税方法：</w:t>
            </w:r>
          </w:p>
          <w:p w14:paraId="2DA0EE11">
            <w:pPr>
              <w:snapToGrid w:val="0"/>
              <w:rPr>
                <w:rFonts w:hint="eastAsia"/>
                <w:bCs/>
                <w:snapToGrid w:val="0"/>
                <w:szCs w:val="24"/>
                <w:highlight w:val="none"/>
              </w:rPr>
            </w:pPr>
            <w:r>
              <w:rPr>
                <w:rFonts w:hint="eastAsia" w:ascii="MS Mincho" w:hAnsi="MS Mincho" w:eastAsia="MS Mincho" w:cs="MS Mincho"/>
                <w:bCs/>
                <w:snapToGrid w:val="0"/>
                <w:szCs w:val="24"/>
                <w:highlight w:val="none"/>
              </w:rPr>
              <w:sym w:font="Wingdings 2" w:char="0052"/>
            </w:r>
            <w:r>
              <w:rPr>
                <w:rFonts w:hint="eastAsia"/>
                <w:bCs/>
                <w:snapToGrid w:val="0"/>
                <w:szCs w:val="24"/>
                <w:highlight w:val="none"/>
              </w:rPr>
              <w:t>一般计税方法</w:t>
            </w:r>
          </w:p>
          <w:p w14:paraId="1F925CF1">
            <w:pPr>
              <w:snapToGrid w:val="0"/>
              <w:rPr>
                <w:rFonts w:hint="eastAsia"/>
                <w:bCs/>
                <w:snapToGrid w:val="0"/>
                <w:szCs w:val="24"/>
                <w:highlight w:val="none"/>
              </w:rPr>
            </w:pPr>
            <w:r>
              <w:rPr>
                <w:rFonts w:hint="eastAsia"/>
                <w:bCs/>
                <w:snapToGrid w:val="0"/>
                <w:szCs w:val="24"/>
                <w:highlight w:val="none"/>
              </w:rPr>
              <w:t xml:space="preserve">□简易计算方法 </w:t>
            </w:r>
          </w:p>
          <w:p w14:paraId="54115C80">
            <w:pPr>
              <w:snapToGrid w:val="0"/>
              <w:rPr>
                <w:rFonts w:hint="eastAsia"/>
                <w:bCs/>
                <w:snapToGrid w:val="0"/>
                <w:szCs w:val="24"/>
                <w:highlight w:val="none"/>
              </w:rPr>
            </w:pPr>
            <w:r>
              <w:rPr>
                <w:rFonts w:hint="eastAsia"/>
                <w:bCs/>
                <w:snapToGrid w:val="0"/>
                <w:szCs w:val="24"/>
                <w:highlight w:val="none"/>
              </w:rPr>
              <w:t>（2）发票类型：</w:t>
            </w:r>
          </w:p>
          <w:p w14:paraId="0E08E26C">
            <w:pPr>
              <w:snapToGrid w:val="0"/>
              <w:rPr>
                <w:rFonts w:hint="eastAsia"/>
                <w:bCs/>
                <w:snapToGrid w:val="0"/>
                <w:szCs w:val="24"/>
                <w:highlight w:val="none"/>
              </w:rPr>
            </w:pPr>
            <w:r>
              <w:rPr>
                <w:rFonts w:hint="eastAsia" w:ascii="MS Mincho" w:hAnsi="MS Mincho" w:eastAsia="MS Mincho" w:cs="MS Mincho"/>
                <w:bCs/>
                <w:snapToGrid w:val="0"/>
                <w:szCs w:val="24"/>
                <w:highlight w:val="none"/>
              </w:rPr>
              <w:sym w:font="Wingdings 2" w:char="0052"/>
            </w:r>
            <w:r>
              <w:rPr>
                <w:rFonts w:hint="eastAsia"/>
                <w:bCs/>
                <w:snapToGrid w:val="0"/>
                <w:szCs w:val="24"/>
                <w:highlight w:val="none"/>
              </w:rPr>
              <w:t>增值税专用发票</w:t>
            </w:r>
          </w:p>
          <w:p w14:paraId="4C87E954">
            <w:pPr>
              <w:snapToGrid w:val="0"/>
              <w:rPr>
                <w:rFonts w:hint="eastAsia"/>
                <w:bCs/>
                <w:snapToGrid w:val="0"/>
                <w:szCs w:val="24"/>
                <w:highlight w:val="none"/>
              </w:rPr>
            </w:pPr>
            <w:r>
              <w:rPr>
                <w:rFonts w:hint="eastAsia"/>
                <w:bCs/>
                <w:snapToGrid w:val="0"/>
                <w:szCs w:val="24"/>
                <w:highlight w:val="none"/>
              </w:rPr>
              <w:sym w:font="Wingdings 2" w:char="00A3"/>
            </w:r>
            <w:r>
              <w:rPr>
                <w:rFonts w:hint="eastAsia"/>
                <w:bCs/>
                <w:snapToGrid w:val="0"/>
                <w:szCs w:val="24"/>
                <w:highlight w:val="none"/>
              </w:rPr>
              <w:t>增值税普通发票</w:t>
            </w:r>
          </w:p>
          <w:p w14:paraId="281DB46D">
            <w:pPr>
              <w:snapToGrid w:val="0"/>
              <w:rPr>
                <w:rFonts w:hint="eastAsia"/>
                <w:bCs/>
                <w:snapToGrid w:val="0"/>
                <w:szCs w:val="24"/>
                <w:highlight w:val="none"/>
              </w:rPr>
            </w:pPr>
            <w:r>
              <w:rPr>
                <w:rFonts w:hint="eastAsia"/>
                <w:bCs/>
                <w:snapToGrid w:val="0"/>
                <w:szCs w:val="24"/>
                <w:highlight w:val="none"/>
              </w:rPr>
              <w:t>（3）增值税税率按照国家有关规定执行。</w:t>
            </w:r>
          </w:p>
          <w:p w14:paraId="52A5259A">
            <w:pPr>
              <w:snapToGrid w:val="0"/>
              <w:rPr>
                <w:rFonts w:hint="eastAsia"/>
                <w:bCs/>
                <w:snapToGrid w:val="0"/>
                <w:szCs w:val="24"/>
                <w:highlight w:val="none"/>
              </w:rPr>
            </w:pPr>
            <w:r>
              <w:rPr>
                <w:rFonts w:hint="eastAsia"/>
                <w:bCs/>
                <w:snapToGrid w:val="0"/>
                <w:szCs w:val="24"/>
                <w:highlight w:val="none"/>
              </w:rPr>
              <w:t>（4）注册地不在合肥市行政区域范围（含四县一市）的中标人，应按照《纳税人跨县（市、区）提供建筑服务增值税征收管理暂行办法》（国家税务</w:t>
            </w:r>
            <w:r>
              <w:rPr>
                <w:rFonts w:hint="eastAsia" w:ascii="Times New Roman" w:hAnsi="Times New Roman" w:cs="Times New Roman"/>
                <w:bCs/>
                <w:snapToGrid w:val="0"/>
                <w:szCs w:val="24"/>
                <w:highlight w:val="none"/>
              </w:rPr>
              <w:t>总局</w:t>
            </w:r>
            <w:r>
              <w:rPr>
                <w:rFonts w:hint="eastAsia"/>
                <w:bCs/>
                <w:snapToGrid w:val="0"/>
                <w:szCs w:val="24"/>
                <w:highlight w:val="none"/>
              </w:rPr>
              <w:t>公告2016年第17号）规定，在建筑服务发生地及时足额预缴增值税。</w:t>
            </w:r>
          </w:p>
        </w:tc>
      </w:tr>
      <w:tr w14:paraId="7AEF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noWrap w:val="0"/>
            <w:vAlign w:val="center"/>
          </w:tcPr>
          <w:p w14:paraId="5CD6A379">
            <w:pPr>
              <w:snapToGrid w:val="0"/>
              <w:ind w:left="105" w:leftChars="50" w:right="105" w:rightChars="50"/>
              <w:jc w:val="center"/>
              <w:rPr>
                <w:rFonts w:hint="default" w:ascii="宋体" w:hAnsi="Times New Roman" w:eastAsia="宋体" w:cs="Times New Roman"/>
                <w:sz w:val="24"/>
                <w:szCs w:val="24"/>
                <w:highlight w:val="none"/>
                <w:lang w:val="en-US" w:eastAsia="zh-CN" w:bidi="ar-SA"/>
              </w:rPr>
            </w:pPr>
            <w:r>
              <w:rPr>
                <w:rFonts w:hint="eastAsia"/>
                <w:snapToGrid w:val="0"/>
                <w:szCs w:val="24"/>
                <w:highlight w:val="none"/>
                <w:lang w:val="en-US" w:eastAsia="zh-CN"/>
              </w:rPr>
              <w:t>14</w:t>
            </w:r>
          </w:p>
        </w:tc>
        <w:tc>
          <w:tcPr>
            <w:tcW w:w="2285" w:type="dxa"/>
            <w:noWrap w:val="0"/>
            <w:vAlign w:val="center"/>
          </w:tcPr>
          <w:p w14:paraId="1FEF4874">
            <w:pPr>
              <w:snapToGrid w:val="0"/>
              <w:rPr>
                <w:rFonts w:hint="eastAsia"/>
                <w:szCs w:val="24"/>
                <w:highlight w:val="none"/>
              </w:rPr>
            </w:pPr>
            <w:r>
              <w:rPr>
                <w:rFonts w:hint="eastAsia"/>
                <w:szCs w:val="24"/>
                <w:highlight w:val="none"/>
              </w:rPr>
              <w:t>最高投标限价（招标控制价）</w:t>
            </w:r>
          </w:p>
        </w:tc>
        <w:tc>
          <w:tcPr>
            <w:tcW w:w="6237" w:type="dxa"/>
            <w:noWrap w:val="0"/>
            <w:vAlign w:val="center"/>
          </w:tcPr>
          <w:p w14:paraId="20BC4152">
            <w:pPr>
              <w:numPr>
                <w:ilvl w:val="0"/>
                <w:numId w:val="0"/>
              </w:numPr>
              <w:spacing w:line="360" w:lineRule="auto"/>
              <w:ind w:firstLine="210" w:firstLineChars="100"/>
              <w:jc w:val="left"/>
              <w:rPr>
                <w:rFonts w:hint="default" w:ascii="宋体" w:hAnsi="Times New Roman" w:eastAsia="宋体" w:cs="Times New Roman"/>
                <w:bCs/>
                <w:snapToGrid w:val="0"/>
                <w:color w:val="FF0000"/>
                <w:szCs w:val="24"/>
                <w:highlight w:val="none"/>
                <w:lang w:val="en-US" w:eastAsia="zh-CN"/>
              </w:rPr>
            </w:pPr>
            <w:r>
              <w:rPr>
                <w:rFonts w:hint="eastAsia" w:ascii="宋体" w:hAnsi="Times New Roman" w:eastAsia="宋体" w:cs="Times New Roman"/>
                <w:bCs/>
                <w:snapToGrid w:val="0"/>
                <w:color w:val="FF0000"/>
                <w:szCs w:val="24"/>
                <w:highlight w:val="none"/>
                <w:lang w:val="en-US" w:eastAsia="zh-CN"/>
              </w:rPr>
              <w:sym w:font="Wingdings 2" w:char="0052"/>
            </w:r>
            <w:r>
              <w:rPr>
                <w:rFonts w:hint="eastAsia" w:ascii="宋体" w:hAnsi="Times New Roman" w:eastAsia="宋体" w:cs="Times New Roman"/>
                <w:bCs/>
                <w:snapToGrid w:val="0"/>
                <w:color w:val="FF0000"/>
                <w:szCs w:val="24"/>
                <w:highlight w:val="none"/>
                <w:lang w:val="en-US" w:eastAsia="zh-CN"/>
              </w:rPr>
              <w:t>有</w:t>
            </w:r>
            <w:r>
              <w:rPr>
                <w:rFonts w:hint="eastAsia" w:ascii="Times New Roman" w:hAnsi="Times New Roman" w:cs="Times New Roman"/>
                <w:bCs/>
                <w:snapToGrid w:val="0"/>
                <w:szCs w:val="24"/>
                <w:highlight w:val="none"/>
                <w:lang w:val="en-US" w:eastAsia="zh-CN"/>
              </w:rPr>
              <w:t>，</w:t>
            </w:r>
            <w:r>
              <w:rPr>
                <w:rFonts w:hint="eastAsia"/>
                <w:szCs w:val="24"/>
                <w:highlight w:val="none"/>
              </w:rPr>
              <w:t>最高投标限</w:t>
            </w:r>
            <w:r>
              <w:rPr>
                <w:rFonts w:hint="eastAsia" w:ascii="Times New Roman" w:hAnsi="Times New Roman" w:eastAsia="宋体" w:cs="Times New Roman"/>
                <w:szCs w:val="24"/>
                <w:highlight w:val="none"/>
              </w:rPr>
              <w:t>价</w:t>
            </w:r>
            <w:r>
              <w:rPr>
                <w:rFonts w:hint="eastAsia" w:ascii="宋体" w:hAnsi="宋体"/>
                <w:color w:val="auto"/>
                <w:sz w:val="24"/>
                <w:szCs w:val="24"/>
                <w:u w:val="none"/>
                <w:lang w:val="en-US" w:eastAsia="zh-CN"/>
              </w:rPr>
              <w:t>76960元</w:t>
            </w:r>
            <w:r>
              <w:rPr>
                <w:rFonts w:hint="eastAsia" w:ascii="Times New Roman" w:hAnsi="Times New Roman" w:eastAsia="宋体" w:cs="Times New Roman"/>
                <w:szCs w:val="24"/>
                <w:highlight w:val="none"/>
                <w:lang w:val="en-US" w:eastAsia="zh-CN"/>
              </w:rPr>
              <w:t>。</w:t>
            </w:r>
          </w:p>
        </w:tc>
      </w:tr>
      <w:tr w14:paraId="7042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3E1D071A">
            <w:pPr>
              <w:snapToGrid w:val="0"/>
              <w:jc w:val="center"/>
              <w:rPr>
                <w:rFonts w:hint="eastAsia"/>
                <w:sz w:val="24"/>
                <w:highlight w:val="none"/>
                <w:lang w:val="en-US" w:eastAsia="zh-CN"/>
              </w:rPr>
            </w:pPr>
          </w:p>
          <w:p w14:paraId="3C091493">
            <w:pPr>
              <w:snapToGrid w:val="0"/>
              <w:jc w:val="center"/>
              <w:rPr>
                <w:rFonts w:hint="eastAsia" w:ascii="宋体" w:hAnsi="Times New Roman" w:eastAsia="宋体" w:cs="Times New Roman"/>
                <w:sz w:val="24"/>
                <w:szCs w:val="24"/>
                <w:highlight w:val="none"/>
                <w:lang w:val="en-US" w:eastAsia="zh-CN" w:bidi="ar-SA"/>
              </w:rPr>
            </w:pPr>
            <w:r>
              <w:rPr>
                <w:rFonts w:hint="eastAsia"/>
                <w:sz w:val="24"/>
                <w:highlight w:val="none"/>
                <w:lang w:val="en-US" w:eastAsia="zh-CN"/>
              </w:rPr>
              <w:t>15</w:t>
            </w:r>
          </w:p>
        </w:tc>
        <w:tc>
          <w:tcPr>
            <w:tcW w:w="2285" w:type="dxa"/>
            <w:noWrap w:val="0"/>
            <w:vAlign w:val="center"/>
          </w:tcPr>
          <w:p w14:paraId="56304AA2">
            <w:pPr>
              <w:snapToGrid w:val="0"/>
              <w:rPr>
                <w:rFonts w:hint="eastAsia"/>
                <w:szCs w:val="24"/>
                <w:highlight w:val="none"/>
              </w:rPr>
            </w:pPr>
            <w:r>
              <w:rPr>
                <w:rFonts w:hint="eastAsia"/>
                <w:szCs w:val="24"/>
                <w:highlight w:val="none"/>
              </w:rPr>
              <w:t>投标报价的其他要求</w:t>
            </w:r>
          </w:p>
        </w:tc>
        <w:tc>
          <w:tcPr>
            <w:tcW w:w="6237" w:type="dxa"/>
            <w:noWrap w:val="0"/>
            <w:vAlign w:val="center"/>
          </w:tcPr>
          <w:p w14:paraId="3F17CD6B">
            <w:pPr>
              <w:snapToGrid w:val="0"/>
              <w:rPr>
                <w:rFonts w:hint="default" w:eastAsia="宋体"/>
                <w:bCs/>
                <w:snapToGrid w:val="0"/>
                <w:szCs w:val="24"/>
                <w:highlight w:val="none"/>
                <w:lang w:val="en-US" w:eastAsia="zh-CN"/>
              </w:rPr>
            </w:pPr>
            <w:r>
              <w:rPr>
                <w:rFonts w:hint="eastAsia"/>
                <w:bCs/>
                <w:snapToGrid w:val="0"/>
                <w:szCs w:val="24"/>
                <w:highlight w:val="none"/>
              </w:rPr>
              <w:t>投标人报价文件投标函填写的投标总报价精确到分（人民币）</w:t>
            </w:r>
            <w:r>
              <w:rPr>
                <w:rFonts w:hint="eastAsia"/>
                <w:bCs/>
                <w:snapToGrid w:val="0"/>
                <w:szCs w:val="24"/>
                <w:highlight w:val="none"/>
                <w:lang w:val="en-US" w:eastAsia="zh-CN"/>
              </w:rPr>
              <w:t>或百分比小数点后两位。</w:t>
            </w:r>
          </w:p>
        </w:tc>
      </w:tr>
      <w:tr w14:paraId="6AD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B3CCA1A">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16</w:t>
            </w:r>
          </w:p>
        </w:tc>
        <w:tc>
          <w:tcPr>
            <w:tcW w:w="2285" w:type="dxa"/>
            <w:noWrap w:val="0"/>
            <w:vAlign w:val="center"/>
          </w:tcPr>
          <w:p w14:paraId="43A859AC">
            <w:pPr>
              <w:snapToGrid w:val="0"/>
              <w:rPr>
                <w:rFonts w:hint="eastAsia"/>
                <w:szCs w:val="24"/>
                <w:highlight w:val="none"/>
              </w:rPr>
            </w:pPr>
            <w:r>
              <w:rPr>
                <w:rFonts w:hint="eastAsia"/>
                <w:szCs w:val="24"/>
                <w:highlight w:val="none"/>
              </w:rPr>
              <w:t>投标有效期</w:t>
            </w:r>
          </w:p>
        </w:tc>
        <w:tc>
          <w:tcPr>
            <w:tcW w:w="6237" w:type="dxa"/>
            <w:noWrap w:val="0"/>
            <w:vAlign w:val="center"/>
          </w:tcPr>
          <w:p w14:paraId="5DF919AB">
            <w:pPr>
              <w:snapToGrid w:val="0"/>
              <w:rPr>
                <w:rFonts w:hint="eastAsia"/>
                <w:snapToGrid w:val="0"/>
                <w:szCs w:val="24"/>
                <w:highlight w:val="none"/>
              </w:rPr>
            </w:pPr>
            <w:r>
              <w:rPr>
                <w:snapToGrid w:val="0"/>
                <w:szCs w:val="24"/>
                <w:highlight w:val="none"/>
              </w:rPr>
              <w:t>自投标人</w:t>
            </w:r>
            <w:r>
              <w:rPr>
                <w:rFonts w:hint="eastAsia"/>
                <w:snapToGrid w:val="0"/>
                <w:szCs w:val="24"/>
                <w:highlight w:val="none"/>
              </w:rPr>
              <w:t>递交</w:t>
            </w:r>
            <w:r>
              <w:rPr>
                <w:snapToGrid w:val="0"/>
                <w:szCs w:val="24"/>
                <w:highlight w:val="none"/>
              </w:rPr>
              <w:t>投标文件截止之日起计算</w:t>
            </w:r>
            <w:r>
              <w:rPr>
                <w:rFonts w:hint="eastAsia"/>
                <w:snapToGrid w:val="0"/>
                <w:szCs w:val="24"/>
                <w:highlight w:val="none"/>
                <w:u w:val="single"/>
              </w:rPr>
              <w:t xml:space="preserve"> </w:t>
            </w:r>
            <w:r>
              <w:rPr>
                <w:rFonts w:hint="eastAsia"/>
                <w:snapToGrid w:val="0"/>
                <w:szCs w:val="24"/>
                <w:highlight w:val="none"/>
                <w:u w:val="single"/>
                <w:lang w:val="en-US" w:eastAsia="zh-CN"/>
              </w:rPr>
              <w:t>90</w:t>
            </w:r>
            <w:r>
              <w:rPr>
                <w:rFonts w:hint="eastAsia"/>
                <w:snapToGrid w:val="0"/>
                <w:szCs w:val="24"/>
                <w:highlight w:val="none"/>
              </w:rPr>
              <w:t>_</w:t>
            </w:r>
            <w:r>
              <w:rPr>
                <w:snapToGrid w:val="0"/>
                <w:szCs w:val="24"/>
                <w:highlight w:val="none"/>
              </w:rPr>
              <w:t>日</w:t>
            </w:r>
          </w:p>
        </w:tc>
      </w:tr>
      <w:tr w14:paraId="336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8D24CE0">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17</w:t>
            </w:r>
          </w:p>
        </w:tc>
        <w:tc>
          <w:tcPr>
            <w:tcW w:w="2285" w:type="dxa"/>
            <w:noWrap w:val="0"/>
            <w:vAlign w:val="center"/>
          </w:tcPr>
          <w:p w14:paraId="084E0883">
            <w:pPr>
              <w:snapToGrid w:val="0"/>
              <w:rPr>
                <w:rFonts w:hint="eastAsia"/>
                <w:szCs w:val="24"/>
                <w:highlight w:val="none"/>
              </w:rPr>
            </w:pPr>
            <w:r>
              <w:rPr>
                <w:rFonts w:hint="eastAsia"/>
                <w:szCs w:val="24"/>
                <w:highlight w:val="none"/>
              </w:rPr>
              <w:t>投标保证金</w:t>
            </w:r>
          </w:p>
        </w:tc>
        <w:tc>
          <w:tcPr>
            <w:tcW w:w="6237" w:type="dxa"/>
            <w:noWrap w:val="0"/>
            <w:vAlign w:val="center"/>
          </w:tcPr>
          <w:p w14:paraId="695AF295">
            <w:pPr>
              <w:snapToGrid w:val="0"/>
              <w:rPr>
                <w:rFonts w:hint="eastAsia" w:cs="楷体"/>
                <w:bCs/>
                <w:snapToGrid w:val="0"/>
                <w:szCs w:val="24"/>
                <w:highlight w:val="none"/>
              </w:rPr>
            </w:pPr>
            <w:r>
              <w:rPr>
                <w:rFonts w:hint="eastAsia" w:cs="楷体"/>
                <w:bCs/>
                <w:snapToGrid w:val="0"/>
                <w:szCs w:val="24"/>
                <w:highlight w:val="none"/>
              </w:rPr>
              <w:t>是否要求投标人递交投标保证金：</w:t>
            </w:r>
          </w:p>
          <w:p w14:paraId="3D1C928E">
            <w:pPr>
              <w:snapToGrid w:val="0"/>
              <w:rPr>
                <w:rFonts w:hint="eastAsia" w:cs="楷体"/>
                <w:b/>
                <w:snapToGrid w:val="0"/>
                <w:szCs w:val="24"/>
                <w:highlight w:val="none"/>
              </w:rPr>
            </w:pPr>
            <w:r>
              <w:rPr>
                <w:rFonts w:hint="eastAsia" w:cs="楷体"/>
                <w:bCs/>
                <w:snapToGrid w:val="0"/>
                <w:szCs w:val="24"/>
                <w:highlight w:val="none"/>
              </w:rPr>
              <w:sym w:font="Wingdings 2" w:char="0052"/>
            </w:r>
            <w:r>
              <w:rPr>
                <w:rFonts w:hint="eastAsia" w:cs="楷体"/>
                <w:bCs/>
                <w:snapToGrid w:val="0"/>
                <w:szCs w:val="24"/>
                <w:highlight w:val="none"/>
              </w:rPr>
              <w:t xml:space="preserve">不要求  </w:t>
            </w:r>
            <w:r>
              <w:rPr>
                <w:rFonts w:hint="eastAsia" w:cs="楷体"/>
                <w:bCs/>
                <w:snapToGrid w:val="0"/>
                <w:szCs w:val="24"/>
                <w:highlight w:val="none"/>
              </w:rPr>
              <w:sym w:font="Wingdings 2" w:char="00A3"/>
            </w:r>
            <w:r>
              <w:rPr>
                <w:rFonts w:hint="eastAsia" w:cs="楷体"/>
                <w:bCs/>
                <w:snapToGrid w:val="0"/>
                <w:szCs w:val="24"/>
                <w:highlight w:val="none"/>
              </w:rPr>
              <w:t>要求</w:t>
            </w:r>
          </w:p>
        </w:tc>
      </w:tr>
      <w:tr w14:paraId="708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87339B6">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18</w:t>
            </w:r>
          </w:p>
        </w:tc>
        <w:tc>
          <w:tcPr>
            <w:tcW w:w="2285" w:type="dxa"/>
            <w:noWrap w:val="0"/>
            <w:vAlign w:val="center"/>
          </w:tcPr>
          <w:p w14:paraId="069927B9">
            <w:pPr>
              <w:snapToGrid w:val="0"/>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履约保证金</w:t>
            </w:r>
          </w:p>
        </w:tc>
        <w:tc>
          <w:tcPr>
            <w:tcW w:w="6237" w:type="dxa"/>
            <w:noWrap w:val="0"/>
            <w:vAlign w:val="center"/>
          </w:tcPr>
          <w:tbl>
            <w:tblPr>
              <w:tblStyle w:val="23"/>
              <w:tblpPr w:leftFromText="180" w:rightFromText="180" w:vertAnchor="text" w:horzAnchor="page" w:tblpX="-20" w:tblpY="84"/>
              <w:tblOverlap w:val="never"/>
              <w:tblW w:w="0" w:type="auto"/>
              <w:tblInd w:w="0" w:type="dxa"/>
              <w:tblLayout w:type="autofit"/>
              <w:tblCellMar>
                <w:top w:w="0" w:type="dxa"/>
                <w:left w:w="108" w:type="dxa"/>
                <w:bottom w:w="0" w:type="dxa"/>
                <w:right w:w="108" w:type="dxa"/>
              </w:tblCellMar>
            </w:tblPr>
            <w:tblGrid>
              <w:gridCol w:w="5835"/>
            </w:tblGrid>
            <w:tr w14:paraId="0FA5C776">
              <w:tblPrEx>
                <w:tblCellMar>
                  <w:top w:w="0" w:type="dxa"/>
                  <w:left w:w="108" w:type="dxa"/>
                  <w:bottom w:w="0" w:type="dxa"/>
                  <w:right w:w="108" w:type="dxa"/>
                </w:tblCellMar>
              </w:tblPrEx>
              <w:tc>
                <w:tcPr>
                  <w:tcW w:w="5835" w:type="dxa"/>
                  <w:noWrap w:val="0"/>
                  <w:vAlign w:val="center"/>
                </w:tcPr>
                <w:p w14:paraId="1B3BAEB5">
                  <w:pPr>
                    <w:snapToGrid w:val="0"/>
                    <w:ind w:left="-73" w:leftChars="-35"/>
                    <w:rPr>
                      <w:rFonts w:cs="楷体"/>
                      <w:bCs/>
                      <w:snapToGrid w:val="0"/>
                      <w:szCs w:val="24"/>
                      <w:highlight w:val="none"/>
                    </w:rPr>
                  </w:pPr>
                  <w:r>
                    <w:rPr>
                      <w:rFonts w:hint="eastAsia"/>
                      <w:szCs w:val="24"/>
                      <w:highlight w:val="none"/>
                    </w:rPr>
                    <w:t>（1）形式：</w:t>
                  </w:r>
                  <w:r>
                    <w:rPr>
                      <w:rFonts w:hint="eastAsia" w:cs="楷体"/>
                      <w:bCs/>
                      <w:snapToGrid w:val="0"/>
                      <w:szCs w:val="24"/>
                      <w:highlight w:val="none"/>
                    </w:rPr>
                    <w:t xml:space="preserve"> </w:t>
                  </w:r>
                  <w:r>
                    <w:rPr>
                      <w:rFonts w:cs="楷体"/>
                      <w:b/>
                      <w:bCs w:val="0"/>
                      <w:snapToGrid w:val="0"/>
                      <w:szCs w:val="24"/>
                      <w:highlight w:val="none"/>
                    </w:rPr>
                    <w:fldChar w:fldCharType="begin"/>
                  </w:r>
                  <w:r>
                    <w:rPr>
                      <w:rFonts w:cs="楷体"/>
                      <w:b/>
                      <w:bCs w:val="0"/>
                      <w:snapToGrid w:val="0"/>
                      <w:szCs w:val="24"/>
                      <w:highlight w:val="none"/>
                    </w:rPr>
                    <w:instrText xml:space="preserve"> </w:instrText>
                  </w:r>
                  <w:r>
                    <w:rPr>
                      <w:rFonts w:hint="eastAsia" w:cs="楷体"/>
                      <w:b/>
                      <w:bCs w:val="0"/>
                      <w:snapToGrid w:val="0"/>
                      <w:szCs w:val="24"/>
                      <w:highlight w:val="none"/>
                    </w:rPr>
                    <w:instrText xml:space="preserve">eq \o\ac(□</w:instrText>
                  </w:r>
                  <w:r>
                    <w:rPr>
                      <w:rFonts w:hint="eastAsia" w:cs="楷体"/>
                      <w:b/>
                      <w:bCs w:val="0"/>
                      <w:snapToGrid w:val="0"/>
                      <w:szCs w:val="24"/>
                      <w:highlight w:val="none"/>
                      <w:lang w:eastAsia="zh-CN"/>
                    </w:rPr>
                    <w:instrText xml:space="preserve">,</w:instrText>
                  </w:r>
                  <w:r>
                    <w:rPr>
                      <w:rFonts w:hint="eastAsia" w:cs="楷体"/>
                      <w:b/>
                      <w:bCs w:val="0"/>
                      <w:snapToGrid w:val="0"/>
                      <w:position w:val="2"/>
                      <w:sz w:val="13"/>
                      <w:szCs w:val="24"/>
                      <w:highlight w:val="none"/>
                      <w:lang w:eastAsia="zh-CN"/>
                    </w:rPr>
                    <w:instrText xml:space="preserve">√</w:instrText>
                  </w:r>
                  <w:r>
                    <w:rPr>
                      <w:rFonts w:hint="eastAsia" w:cs="楷体"/>
                      <w:b/>
                      <w:bCs w:val="0"/>
                      <w:snapToGrid w:val="0"/>
                      <w:szCs w:val="24"/>
                      <w:highlight w:val="none"/>
                    </w:rPr>
                    <w:instrText xml:space="preserve">)</w:instrText>
                  </w:r>
                  <w:r>
                    <w:rPr>
                      <w:rFonts w:cs="楷体"/>
                      <w:b/>
                      <w:bCs w:val="0"/>
                      <w:snapToGrid w:val="0"/>
                      <w:szCs w:val="24"/>
                      <w:highlight w:val="none"/>
                    </w:rPr>
                    <w:fldChar w:fldCharType="end"/>
                  </w:r>
                  <w:r>
                    <w:rPr>
                      <w:rFonts w:hint="eastAsia" w:cs="楷体"/>
                      <w:b w:val="0"/>
                      <w:bCs/>
                      <w:snapToGrid w:val="0"/>
                      <w:szCs w:val="24"/>
                      <w:highlight w:val="none"/>
                      <w:lang w:val="en-US" w:eastAsia="zh-CN"/>
                    </w:rPr>
                    <w:t>免收</w:t>
                  </w:r>
                  <w:r>
                    <w:rPr>
                      <w:rFonts w:hint="eastAsia" w:cs="楷体"/>
                      <w:b/>
                      <w:snapToGrid w:val="0"/>
                      <w:szCs w:val="24"/>
                      <w:highlight w:val="none"/>
                      <w:lang w:val="en-US" w:eastAsia="zh-CN"/>
                    </w:rPr>
                    <w:t xml:space="preserve">  </w:t>
                  </w:r>
                  <w:r>
                    <w:rPr>
                      <w:rFonts w:cs="楷体"/>
                      <w:b/>
                      <w:snapToGrid w:val="0"/>
                      <w:szCs w:val="24"/>
                      <w:highlight w:val="none"/>
                    </w:rPr>
                    <w:fldChar w:fldCharType="begin"/>
                  </w:r>
                  <w:r>
                    <w:rPr>
                      <w:rFonts w:cs="楷体"/>
                      <w:b/>
                      <w:snapToGrid w:val="0"/>
                      <w:szCs w:val="24"/>
                      <w:highlight w:val="none"/>
                    </w:rPr>
                    <w:instrText xml:space="preserve"> </w:instrText>
                  </w:r>
                  <w:r>
                    <w:rPr>
                      <w:rFonts w:hint="eastAsia" w:cs="楷体"/>
                      <w:b/>
                      <w:snapToGrid w:val="0"/>
                      <w:szCs w:val="24"/>
                      <w:highlight w:val="none"/>
                    </w:rPr>
                    <w:instrText xml:space="preserve">eq \o\ac(□)</w:instrText>
                  </w:r>
                  <w:r>
                    <w:rPr>
                      <w:rFonts w:cs="楷体"/>
                      <w:b/>
                      <w:snapToGrid w:val="0"/>
                      <w:szCs w:val="24"/>
                      <w:highlight w:val="none"/>
                    </w:rPr>
                    <w:fldChar w:fldCharType="end"/>
                  </w:r>
                  <w:r>
                    <w:rPr>
                      <w:rFonts w:hint="eastAsia" w:cs="楷体"/>
                      <w:bCs/>
                      <w:snapToGrid w:val="0"/>
                      <w:szCs w:val="24"/>
                      <w:highlight w:val="none"/>
                    </w:rPr>
                    <w:t xml:space="preserve">银行转账  </w:t>
                  </w:r>
                  <w:r>
                    <w:rPr>
                      <w:rFonts w:cs="楷体"/>
                      <w:b/>
                      <w:snapToGrid w:val="0"/>
                      <w:szCs w:val="24"/>
                      <w:highlight w:val="none"/>
                    </w:rPr>
                    <w:fldChar w:fldCharType="begin"/>
                  </w:r>
                  <w:r>
                    <w:rPr>
                      <w:rFonts w:cs="楷体"/>
                      <w:b/>
                      <w:snapToGrid w:val="0"/>
                      <w:szCs w:val="24"/>
                      <w:highlight w:val="none"/>
                    </w:rPr>
                    <w:instrText xml:space="preserve"> </w:instrText>
                  </w:r>
                  <w:r>
                    <w:rPr>
                      <w:rFonts w:hint="eastAsia" w:cs="楷体"/>
                      <w:b/>
                      <w:snapToGrid w:val="0"/>
                      <w:szCs w:val="24"/>
                      <w:highlight w:val="none"/>
                    </w:rPr>
                    <w:instrText xml:space="preserve">eq \o\ac(□)</w:instrText>
                  </w:r>
                  <w:r>
                    <w:rPr>
                      <w:rFonts w:cs="楷体"/>
                      <w:b/>
                      <w:snapToGrid w:val="0"/>
                      <w:szCs w:val="24"/>
                      <w:highlight w:val="none"/>
                    </w:rPr>
                    <w:fldChar w:fldCharType="end"/>
                  </w:r>
                  <w:r>
                    <w:rPr>
                      <w:rFonts w:hint="eastAsia" w:cs="楷体"/>
                      <w:bCs/>
                      <w:snapToGrid w:val="0"/>
                      <w:szCs w:val="24"/>
                      <w:highlight w:val="none"/>
                    </w:rPr>
                    <w:t xml:space="preserve">银行电汇  </w:t>
                  </w:r>
                </w:p>
                <w:p w14:paraId="693CCCB4">
                  <w:pPr>
                    <w:snapToGrid w:val="0"/>
                    <w:rPr>
                      <w:rFonts w:hint="eastAsia" w:ascii="楷体" w:hAnsi="楷体" w:eastAsia="楷体" w:cs="楷体"/>
                      <w:bCs/>
                      <w:snapToGrid w:val="0"/>
                      <w:szCs w:val="24"/>
                      <w:highlight w:val="none"/>
                    </w:rPr>
                  </w:pPr>
                  <w:r>
                    <w:rPr>
                      <w:rFonts w:cs="楷体"/>
                      <w:b/>
                      <w:snapToGrid w:val="0"/>
                      <w:szCs w:val="24"/>
                      <w:highlight w:val="none"/>
                    </w:rPr>
                    <w:fldChar w:fldCharType="begin"/>
                  </w:r>
                  <w:r>
                    <w:rPr>
                      <w:rFonts w:cs="楷体"/>
                      <w:b/>
                      <w:snapToGrid w:val="0"/>
                      <w:szCs w:val="24"/>
                      <w:highlight w:val="none"/>
                    </w:rPr>
                    <w:instrText xml:space="preserve"> </w:instrText>
                  </w:r>
                  <w:r>
                    <w:rPr>
                      <w:rFonts w:hint="eastAsia" w:cs="楷体"/>
                      <w:b/>
                      <w:snapToGrid w:val="0"/>
                      <w:szCs w:val="24"/>
                      <w:highlight w:val="none"/>
                    </w:rPr>
                    <w:instrText xml:space="preserve">eq \o\ac(□)</w:instrText>
                  </w:r>
                  <w:r>
                    <w:rPr>
                      <w:rFonts w:cs="楷体"/>
                      <w:b/>
                      <w:snapToGrid w:val="0"/>
                      <w:szCs w:val="24"/>
                      <w:highlight w:val="none"/>
                    </w:rPr>
                    <w:fldChar w:fldCharType="end"/>
                  </w:r>
                  <w:r>
                    <w:rPr>
                      <w:rFonts w:hint="eastAsia" w:cs="楷体"/>
                      <w:bCs/>
                      <w:snapToGrid w:val="0"/>
                      <w:szCs w:val="24"/>
                      <w:highlight w:val="none"/>
                    </w:rPr>
                    <w:t xml:space="preserve">银行保函  </w:t>
                  </w:r>
                  <w:r>
                    <w:rPr>
                      <w:rFonts w:cs="楷体"/>
                      <w:b/>
                      <w:snapToGrid w:val="0"/>
                      <w:szCs w:val="24"/>
                      <w:highlight w:val="none"/>
                    </w:rPr>
                    <w:fldChar w:fldCharType="begin"/>
                  </w:r>
                  <w:r>
                    <w:rPr>
                      <w:rFonts w:cs="楷体"/>
                      <w:b/>
                      <w:snapToGrid w:val="0"/>
                      <w:szCs w:val="24"/>
                      <w:highlight w:val="none"/>
                    </w:rPr>
                    <w:instrText xml:space="preserve"> </w:instrText>
                  </w:r>
                  <w:r>
                    <w:rPr>
                      <w:rFonts w:hint="eastAsia" w:cs="楷体"/>
                      <w:b/>
                      <w:snapToGrid w:val="0"/>
                      <w:szCs w:val="24"/>
                      <w:highlight w:val="none"/>
                    </w:rPr>
                    <w:instrText xml:space="preserve">eq \o\ac(□)</w:instrText>
                  </w:r>
                  <w:r>
                    <w:rPr>
                      <w:rFonts w:cs="楷体"/>
                      <w:b/>
                      <w:snapToGrid w:val="0"/>
                      <w:szCs w:val="24"/>
                      <w:highlight w:val="none"/>
                    </w:rPr>
                    <w:fldChar w:fldCharType="end"/>
                  </w:r>
                  <w:r>
                    <w:rPr>
                      <w:rFonts w:hint="eastAsia" w:cs="楷体"/>
                      <w:bCs/>
                      <w:snapToGrid w:val="0"/>
                      <w:szCs w:val="24"/>
                      <w:highlight w:val="none"/>
                    </w:rPr>
                    <w:t xml:space="preserve">担保机构担保   </w:t>
                  </w:r>
                  <w:r>
                    <w:rPr>
                      <w:rFonts w:cs="楷体"/>
                      <w:b/>
                      <w:snapToGrid w:val="0"/>
                      <w:szCs w:val="24"/>
                      <w:highlight w:val="none"/>
                    </w:rPr>
                    <w:fldChar w:fldCharType="begin"/>
                  </w:r>
                  <w:r>
                    <w:rPr>
                      <w:rFonts w:cs="楷体"/>
                      <w:b/>
                      <w:snapToGrid w:val="0"/>
                      <w:szCs w:val="24"/>
                      <w:highlight w:val="none"/>
                    </w:rPr>
                    <w:instrText xml:space="preserve"> </w:instrText>
                  </w:r>
                  <w:r>
                    <w:rPr>
                      <w:rFonts w:hint="eastAsia" w:cs="楷体"/>
                      <w:b/>
                      <w:snapToGrid w:val="0"/>
                      <w:szCs w:val="24"/>
                      <w:highlight w:val="none"/>
                    </w:rPr>
                    <w:instrText xml:space="preserve">eq \o\ac(□)</w:instrText>
                  </w:r>
                  <w:r>
                    <w:rPr>
                      <w:rFonts w:cs="楷体"/>
                      <w:b/>
                      <w:snapToGrid w:val="0"/>
                      <w:szCs w:val="24"/>
                      <w:highlight w:val="none"/>
                    </w:rPr>
                    <w:fldChar w:fldCharType="end"/>
                  </w:r>
                  <w:r>
                    <w:rPr>
                      <w:rFonts w:hint="eastAsia" w:cs="楷体"/>
                      <w:bCs/>
                      <w:snapToGrid w:val="0"/>
                      <w:szCs w:val="24"/>
                      <w:highlight w:val="none"/>
                    </w:rPr>
                    <w:t>保证保险</w:t>
                  </w:r>
                </w:p>
              </w:tc>
            </w:tr>
          </w:tbl>
          <w:p w14:paraId="364AB977">
            <w:pPr>
              <w:numPr>
                <w:ilvl w:val="0"/>
                <w:numId w:val="0"/>
              </w:numPr>
              <w:snapToGrid w:val="0"/>
              <w:ind w:left="-73" w:leftChars="-35"/>
              <w:rPr>
                <w:rFonts w:hint="eastAsia"/>
                <w:b/>
                <w:szCs w:val="24"/>
                <w:highlight w:val="none"/>
              </w:rPr>
            </w:pPr>
            <w:r>
              <w:rPr>
                <w:rFonts w:hint="eastAsia" w:ascii="Times New Roman" w:hAnsi="Times New Roman" w:eastAsia="宋体" w:cs="Times New Roman"/>
                <w:b/>
                <w:kern w:val="2"/>
                <w:sz w:val="21"/>
                <w:szCs w:val="24"/>
                <w:lang w:val="en-US" w:eastAsia="zh-CN" w:bidi="ar-SA"/>
              </w:rPr>
              <w:t>（2）</w:t>
            </w:r>
            <w:r>
              <w:rPr>
                <w:rFonts w:hint="eastAsia"/>
                <w:szCs w:val="24"/>
                <w:highlight w:val="none"/>
              </w:rPr>
              <w:t>金额：</w:t>
            </w:r>
            <w:r>
              <w:rPr>
                <w:rFonts w:hint="eastAsia" w:cs="楷体"/>
                <w:bCs/>
                <w:snapToGrid w:val="0"/>
                <w:szCs w:val="24"/>
                <w:highlight w:val="none"/>
              </w:rPr>
              <w:t>中标金</w:t>
            </w:r>
            <w:r>
              <w:rPr>
                <w:rFonts w:hint="eastAsia"/>
                <w:szCs w:val="24"/>
                <w:highlight w:val="none"/>
              </w:rPr>
              <w:t xml:space="preserve">额的 </w:t>
            </w:r>
            <w:r>
              <w:rPr>
                <w:rFonts w:hint="eastAsia"/>
                <w:b/>
                <w:szCs w:val="24"/>
                <w:highlight w:val="none"/>
                <w:u w:val="single"/>
              </w:rPr>
              <w:t xml:space="preserve"> </w:t>
            </w:r>
            <w:r>
              <w:rPr>
                <w:rFonts w:hint="eastAsia"/>
                <w:b/>
                <w:szCs w:val="24"/>
                <w:highlight w:val="none"/>
                <w:u w:val="single"/>
                <w:lang w:val="en-US" w:eastAsia="zh-CN"/>
              </w:rPr>
              <w:t xml:space="preserve">/ </w:t>
            </w:r>
            <w:r>
              <w:rPr>
                <w:rFonts w:hint="eastAsia"/>
                <w:b/>
                <w:szCs w:val="24"/>
                <w:highlight w:val="none"/>
                <w:u w:val="single"/>
              </w:rPr>
              <w:t xml:space="preserve"> </w:t>
            </w:r>
            <w:r>
              <w:rPr>
                <w:rFonts w:hint="eastAsia"/>
                <w:b/>
                <w:szCs w:val="24"/>
                <w:highlight w:val="none"/>
              </w:rPr>
              <w:t>％</w:t>
            </w:r>
          </w:p>
          <w:p w14:paraId="04737888">
            <w:pPr>
              <w:numPr>
                <w:ilvl w:val="0"/>
                <w:numId w:val="0"/>
              </w:numPr>
              <w:snapToGrid w:val="0"/>
              <w:ind w:left="-73" w:leftChars="-35"/>
              <w:rPr>
                <w:rFonts w:hint="eastAsia"/>
                <w:b/>
                <w:szCs w:val="24"/>
                <w:highlight w:val="none"/>
                <w:lang w:val="en-US" w:eastAsia="zh-CN"/>
              </w:rPr>
            </w:pPr>
            <w:r>
              <w:rPr>
                <w:rFonts w:hint="eastAsia" w:ascii="Times New Roman" w:hAnsi="Times New Roman" w:eastAsia="宋体" w:cs="Times New Roman"/>
                <w:b/>
                <w:kern w:val="2"/>
                <w:sz w:val="21"/>
                <w:szCs w:val="24"/>
                <w:lang w:val="en-US" w:eastAsia="zh-CN" w:bidi="ar-SA"/>
              </w:rPr>
              <w:t>（3）</w:t>
            </w:r>
            <w:r>
              <w:rPr>
                <w:rFonts w:hint="eastAsia"/>
                <w:b/>
                <w:szCs w:val="24"/>
                <w:highlight w:val="none"/>
                <w:lang w:val="en-US" w:eastAsia="zh-CN"/>
              </w:rPr>
              <w:t>中标单位应于合同签订之日起3个工作日内缴纳履约保证金，如中标单位未能按期履行合同，采购人可从履约保证金中获得经济上的赔偿，履约保证金退还期限为服务期满后30 日历日内，中标单位无违约行为，双方无异议后退还（无息）。</w:t>
            </w:r>
          </w:p>
          <w:p w14:paraId="3F58516C">
            <w:pPr>
              <w:numPr>
                <w:ilvl w:val="0"/>
                <w:numId w:val="0"/>
              </w:numPr>
              <w:snapToGrid w:val="0"/>
              <w:ind w:left="-73" w:leftChars="-35"/>
              <w:rPr>
                <w:rFonts w:hint="eastAsia"/>
                <w:b/>
                <w:szCs w:val="24"/>
                <w:highlight w:val="none"/>
                <w:lang w:val="en-US" w:eastAsia="zh-CN"/>
              </w:rPr>
            </w:pPr>
            <w:r>
              <w:rPr>
                <w:rFonts w:hint="eastAsia"/>
                <w:b/>
                <w:szCs w:val="24"/>
                <w:highlight w:val="none"/>
                <w:lang w:val="en-US" w:eastAsia="zh-CN"/>
              </w:rPr>
              <w:t>采购方账户信息如下：</w:t>
            </w:r>
          </w:p>
          <w:p w14:paraId="2D55C8F4">
            <w:pPr>
              <w:numPr>
                <w:ilvl w:val="0"/>
                <w:numId w:val="0"/>
              </w:numPr>
              <w:snapToGrid w:val="0"/>
              <w:ind w:left="-73" w:leftChars="-35"/>
              <w:rPr>
                <w:rFonts w:hint="eastAsia"/>
                <w:b/>
                <w:szCs w:val="24"/>
                <w:highlight w:val="none"/>
                <w:lang w:val="en-US" w:eastAsia="zh-CN"/>
              </w:rPr>
            </w:pPr>
            <w:r>
              <w:rPr>
                <w:rFonts w:hint="eastAsia"/>
                <w:b/>
                <w:szCs w:val="24"/>
                <w:highlight w:val="none"/>
                <w:lang w:val="en-US" w:eastAsia="zh-CN"/>
              </w:rPr>
              <w:t>账户名称：</w:t>
            </w:r>
          </w:p>
          <w:p w14:paraId="7443FC6B">
            <w:pPr>
              <w:numPr>
                <w:ilvl w:val="0"/>
                <w:numId w:val="0"/>
              </w:numPr>
              <w:snapToGrid w:val="0"/>
              <w:ind w:left="-73" w:leftChars="-35"/>
              <w:rPr>
                <w:rFonts w:hint="eastAsia"/>
                <w:b/>
                <w:szCs w:val="24"/>
                <w:highlight w:val="none"/>
                <w:lang w:val="en-US" w:eastAsia="zh-CN"/>
              </w:rPr>
            </w:pPr>
            <w:r>
              <w:rPr>
                <w:rFonts w:hint="eastAsia"/>
                <w:b/>
                <w:szCs w:val="24"/>
                <w:highlight w:val="none"/>
                <w:lang w:val="en-US" w:eastAsia="zh-CN"/>
              </w:rPr>
              <w:t>开户银行：</w:t>
            </w:r>
          </w:p>
          <w:p w14:paraId="4271FDCD">
            <w:pPr>
              <w:numPr>
                <w:ilvl w:val="0"/>
                <w:numId w:val="0"/>
              </w:numPr>
              <w:snapToGrid w:val="0"/>
              <w:ind w:left="-73" w:leftChars="-35"/>
              <w:rPr>
                <w:rFonts w:hint="eastAsia"/>
                <w:b/>
                <w:szCs w:val="24"/>
                <w:highlight w:val="none"/>
                <w:lang w:val="en-US" w:eastAsia="zh-CN"/>
              </w:rPr>
            </w:pPr>
            <w:r>
              <w:rPr>
                <w:rFonts w:hint="eastAsia"/>
                <w:b/>
                <w:szCs w:val="24"/>
                <w:highlight w:val="none"/>
                <w:lang w:val="en-US" w:eastAsia="zh-CN"/>
              </w:rPr>
              <w:t>账号：</w:t>
            </w:r>
          </w:p>
        </w:tc>
      </w:tr>
      <w:tr w14:paraId="1B0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BA84BCC">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19</w:t>
            </w:r>
          </w:p>
        </w:tc>
        <w:tc>
          <w:tcPr>
            <w:tcW w:w="2285" w:type="dxa"/>
            <w:noWrap w:val="0"/>
            <w:vAlign w:val="center"/>
          </w:tcPr>
          <w:p w14:paraId="79944AA1">
            <w:pPr>
              <w:snapToGrid w:val="0"/>
              <w:rPr>
                <w:rFonts w:hint="eastAsia"/>
                <w:szCs w:val="24"/>
                <w:highlight w:val="none"/>
              </w:rPr>
            </w:pPr>
            <w:r>
              <w:rPr>
                <w:rFonts w:hint="eastAsia"/>
                <w:szCs w:val="24"/>
                <w:highlight w:val="none"/>
              </w:rPr>
              <w:t>是否允许递交备选投标方案</w:t>
            </w:r>
          </w:p>
        </w:tc>
        <w:tc>
          <w:tcPr>
            <w:tcW w:w="6237" w:type="dxa"/>
            <w:noWrap w:val="0"/>
            <w:vAlign w:val="center"/>
          </w:tcPr>
          <w:p w14:paraId="0B26DC7C">
            <w:pPr>
              <w:snapToGrid w:val="0"/>
              <w:rPr>
                <w:rFonts w:hint="eastAsia"/>
                <w:szCs w:val="24"/>
                <w:highlight w:val="none"/>
              </w:rPr>
            </w:pPr>
            <w:r>
              <w:rPr>
                <w:rFonts w:hint="eastAsia"/>
                <w:szCs w:val="24"/>
                <w:highlight w:val="none"/>
              </w:rPr>
              <w:sym w:font="Wingdings 2" w:char="0052"/>
            </w:r>
            <w:r>
              <w:rPr>
                <w:rFonts w:hint="eastAsia"/>
                <w:szCs w:val="24"/>
                <w:highlight w:val="none"/>
              </w:rPr>
              <w:t>不允许</w:t>
            </w:r>
          </w:p>
        </w:tc>
      </w:tr>
      <w:tr w14:paraId="0583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CC91672">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20</w:t>
            </w:r>
          </w:p>
        </w:tc>
        <w:tc>
          <w:tcPr>
            <w:tcW w:w="2285" w:type="dxa"/>
            <w:noWrap w:val="0"/>
            <w:vAlign w:val="center"/>
          </w:tcPr>
          <w:p w14:paraId="6B86D2EA">
            <w:pPr>
              <w:snapToGrid w:val="0"/>
              <w:rPr>
                <w:rFonts w:hint="eastAsia" w:ascii="宋体" w:eastAsia="宋体"/>
                <w:snapToGrid w:val="0"/>
                <w:sz w:val="24"/>
                <w:szCs w:val="24"/>
                <w:highlight w:val="yellow"/>
                <w:shd w:val="clear" w:color="auto" w:fill="FFFFFF"/>
                <w:lang w:val="en-US" w:eastAsia="zh-CN" w:bidi="ar-SA"/>
              </w:rPr>
            </w:pPr>
            <w:r>
              <w:rPr>
                <w:rFonts w:hint="eastAsia"/>
                <w:snapToGrid w:val="0"/>
                <w:szCs w:val="24"/>
                <w:highlight w:val="yellow"/>
                <w:shd w:val="clear" w:color="auto" w:fill="FFFFFF"/>
                <w:lang w:eastAsia="zh-CN"/>
              </w:rPr>
              <w:t>投标文件份数及要求</w:t>
            </w:r>
          </w:p>
        </w:tc>
        <w:tc>
          <w:tcPr>
            <w:tcW w:w="6237" w:type="dxa"/>
            <w:noWrap w:val="0"/>
            <w:vAlign w:val="center"/>
          </w:tcPr>
          <w:p w14:paraId="2845B2F9">
            <w:pPr>
              <w:pStyle w:val="5"/>
              <w:rPr>
                <w:rFonts w:hint="eastAsia" w:ascii="黑体" w:hAnsi="黑体" w:eastAsia="黑体" w:cs="楷体"/>
                <w:bCs/>
                <w:snapToGrid w:val="0"/>
                <w:sz w:val="24"/>
                <w:szCs w:val="24"/>
                <w:highlight w:val="yellow"/>
                <w:lang w:val="en-US" w:eastAsia="zh-CN" w:bidi="ar-SA"/>
              </w:rPr>
            </w:pPr>
            <w:r>
              <w:rPr>
                <w:rFonts w:hint="eastAsia" w:ascii="宋体" w:hAnsi="宋体"/>
                <w:sz w:val="24"/>
                <w:highlight w:val="yellow"/>
              </w:rPr>
              <w:t>正本1份；副本</w:t>
            </w:r>
            <w:r>
              <w:rPr>
                <w:rFonts w:hint="eastAsia" w:ascii="宋体" w:hAnsi="宋体"/>
                <w:sz w:val="24"/>
                <w:highlight w:val="yellow"/>
                <w:lang w:val="en-US" w:eastAsia="zh-CN"/>
              </w:rPr>
              <w:t>2</w:t>
            </w:r>
            <w:r>
              <w:rPr>
                <w:rFonts w:hint="eastAsia" w:ascii="宋体" w:hAnsi="宋体"/>
                <w:sz w:val="24"/>
                <w:highlight w:val="yellow"/>
              </w:rPr>
              <w:t>份，密封提交。</w:t>
            </w:r>
          </w:p>
        </w:tc>
      </w:tr>
      <w:tr w14:paraId="545C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6492EA5">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21</w:t>
            </w:r>
          </w:p>
        </w:tc>
        <w:tc>
          <w:tcPr>
            <w:tcW w:w="2285" w:type="dxa"/>
            <w:noWrap w:val="0"/>
            <w:vAlign w:val="center"/>
          </w:tcPr>
          <w:p w14:paraId="35399CAA">
            <w:pPr>
              <w:snapToGrid w:val="0"/>
              <w:rPr>
                <w:rFonts w:hint="eastAsia" w:ascii="楷体" w:hAnsi="楷体" w:eastAsia="楷体"/>
                <w:snapToGrid w:val="0"/>
                <w:szCs w:val="24"/>
                <w:highlight w:val="yellow"/>
                <w:shd w:val="clear" w:color="auto" w:fill="FFFFFF"/>
              </w:rPr>
            </w:pPr>
            <w:r>
              <w:rPr>
                <w:rFonts w:hint="eastAsia"/>
                <w:snapToGrid w:val="0"/>
                <w:szCs w:val="24"/>
                <w:highlight w:val="yellow"/>
                <w:shd w:val="clear" w:color="auto" w:fill="FFFFFF"/>
              </w:rPr>
              <w:t>投标文件密封和标记要求</w:t>
            </w:r>
          </w:p>
        </w:tc>
        <w:tc>
          <w:tcPr>
            <w:tcW w:w="6237" w:type="dxa"/>
            <w:noWrap w:val="0"/>
            <w:vAlign w:val="center"/>
          </w:tcPr>
          <w:p w14:paraId="0AF377BF">
            <w:pPr>
              <w:snapToGrid w:val="0"/>
              <w:rPr>
                <w:rFonts w:hint="eastAsia"/>
                <w:highlight w:val="yellow"/>
                <w:u w:val="none"/>
                <w:lang w:val="en-US" w:eastAsia="zh-CN"/>
              </w:rPr>
            </w:pPr>
            <w:r>
              <w:rPr>
                <w:rFonts w:hint="eastAsia"/>
                <w:highlight w:val="yellow"/>
              </w:rPr>
              <w:t>投标文件封套：</w:t>
            </w:r>
            <w:r>
              <w:rPr>
                <w:rFonts w:hint="eastAsia"/>
                <w:highlight w:val="yellow"/>
                <w:u w:val="single"/>
                <w:lang w:val="en-US" w:eastAsia="zh-CN"/>
              </w:rPr>
              <w:t xml:space="preserve">            </w:t>
            </w:r>
            <w:r>
              <w:rPr>
                <w:rFonts w:hint="eastAsia"/>
                <w:highlight w:val="yellow"/>
                <w:u w:val="none"/>
                <w:lang w:val="en-US" w:eastAsia="zh-CN"/>
              </w:rPr>
              <w:t>项目投标文件</w:t>
            </w:r>
          </w:p>
          <w:p w14:paraId="2C9D2823">
            <w:pPr>
              <w:snapToGrid w:val="0"/>
              <w:rPr>
                <w:rFonts w:hint="eastAsia"/>
                <w:highlight w:val="yellow"/>
              </w:rPr>
            </w:pPr>
            <w:r>
              <w:rPr>
                <w:rFonts w:hint="eastAsia"/>
                <w:highlight w:val="yellow"/>
              </w:rPr>
              <w:t xml:space="preserve">投标人地址：              </w:t>
            </w:r>
          </w:p>
          <w:p w14:paraId="08F87B84">
            <w:pPr>
              <w:snapToGrid w:val="0"/>
              <w:rPr>
                <w:rFonts w:hint="eastAsia"/>
                <w:highlight w:val="yellow"/>
              </w:rPr>
            </w:pPr>
            <w:r>
              <w:rPr>
                <w:rFonts w:hint="eastAsia"/>
                <w:highlight w:val="yellow"/>
              </w:rPr>
              <w:t xml:space="preserve">投标人名称：              </w:t>
            </w:r>
          </w:p>
          <w:p w14:paraId="6504B5D4">
            <w:pPr>
              <w:snapToGrid w:val="0"/>
              <w:rPr>
                <w:rFonts w:hint="eastAsia"/>
                <w:highlight w:val="yellow"/>
              </w:rPr>
            </w:pPr>
            <w:r>
              <w:rPr>
                <w:rFonts w:hint="eastAsia"/>
                <w:highlight w:val="yellow"/>
              </w:rPr>
              <w:t xml:space="preserve">       (招标项目名称)投标文件</w:t>
            </w:r>
          </w:p>
          <w:p w14:paraId="100D95BB">
            <w:pPr>
              <w:snapToGrid w:val="0"/>
              <w:rPr>
                <w:rFonts w:hint="eastAsia"/>
                <w:highlight w:val="yellow"/>
              </w:rPr>
            </w:pPr>
          </w:p>
          <w:p w14:paraId="115DDA16">
            <w:pPr>
              <w:snapToGrid w:val="0"/>
              <w:rPr>
                <w:rFonts w:hint="eastAsia"/>
                <w:highlight w:val="yellow"/>
              </w:rPr>
            </w:pPr>
            <w:r>
              <w:rPr>
                <w:rFonts w:hint="eastAsia"/>
                <w:highlight w:val="yellow"/>
              </w:rPr>
              <w:t>在    年   月   日    时   分前不得开启</w:t>
            </w:r>
          </w:p>
          <w:p w14:paraId="26337E8F">
            <w:pPr>
              <w:pStyle w:val="5"/>
              <w:rPr>
                <w:rFonts w:hint="eastAsia"/>
                <w:highlight w:val="yellow"/>
              </w:rPr>
            </w:pPr>
            <w:r>
              <w:rPr>
                <w:rFonts w:hint="eastAsia" w:cs="楷体"/>
                <w:bCs/>
                <w:snapToGrid w:val="0"/>
                <w:szCs w:val="24"/>
                <w:highlight w:val="yellow"/>
              </w:rPr>
              <w:t>封套的封口处加盖投标人单位章或由投标人的法定代人或其授权的代理人签字。</w:t>
            </w:r>
          </w:p>
        </w:tc>
      </w:tr>
      <w:tr w14:paraId="090D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4710BEC">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22</w:t>
            </w:r>
          </w:p>
        </w:tc>
        <w:tc>
          <w:tcPr>
            <w:tcW w:w="2285" w:type="dxa"/>
            <w:noWrap w:val="0"/>
            <w:vAlign w:val="center"/>
          </w:tcPr>
          <w:p w14:paraId="6F7AE80A">
            <w:pPr>
              <w:snapToGrid w:val="0"/>
              <w:rPr>
                <w:rFonts w:hint="eastAsia" w:ascii="仿宋" w:hAnsi="仿宋" w:eastAsia="仿宋"/>
                <w:snapToGrid w:val="0"/>
                <w:sz w:val="24"/>
                <w:szCs w:val="24"/>
                <w:highlight w:val="none"/>
                <w:shd w:val="clear" w:color="auto" w:fill="FFFFFF"/>
                <w:lang w:val="en-US" w:eastAsia="zh-CN" w:bidi="ar-SA"/>
              </w:rPr>
            </w:pPr>
            <w:r>
              <w:rPr>
                <w:rFonts w:hint="eastAsia"/>
                <w:snapToGrid w:val="0"/>
                <w:szCs w:val="24"/>
                <w:highlight w:val="none"/>
                <w:shd w:val="clear" w:color="auto" w:fill="FFFFFF"/>
              </w:rPr>
              <w:t>投标文件递交</w:t>
            </w:r>
          </w:p>
        </w:tc>
        <w:tc>
          <w:tcPr>
            <w:tcW w:w="6237" w:type="dxa"/>
            <w:noWrap w:val="0"/>
            <w:vAlign w:val="center"/>
          </w:tcPr>
          <w:p w14:paraId="30EEE8AB">
            <w:pPr>
              <w:snapToGrid w:val="0"/>
              <w:rPr>
                <w:rFonts w:hint="eastAsia"/>
                <w:snapToGrid w:val="0"/>
                <w:szCs w:val="24"/>
                <w:highlight w:val="none"/>
                <w:shd w:val="clear" w:color="auto" w:fill="FFFFFF"/>
              </w:rPr>
            </w:pPr>
            <w:r>
              <w:rPr>
                <w:rFonts w:hint="eastAsia"/>
                <w:snapToGrid w:val="0"/>
                <w:szCs w:val="24"/>
                <w:highlight w:val="none"/>
                <w:shd w:val="clear" w:color="auto" w:fill="FFFFFF"/>
              </w:rPr>
              <w:t>投标文件由投标人</w:t>
            </w:r>
            <w:r>
              <w:rPr>
                <w:rFonts w:hint="eastAsia"/>
                <w:snapToGrid w:val="0"/>
                <w:szCs w:val="24"/>
                <w:highlight w:val="none"/>
                <w:shd w:val="clear" w:color="auto" w:fill="FFFFFF"/>
                <w:lang w:eastAsia="zh-CN"/>
              </w:rPr>
              <w:t>在响应文件递交截止时间前密封</w:t>
            </w:r>
            <w:r>
              <w:rPr>
                <w:rFonts w:hint="eastAsia"/>
                <w:snapToGrid w:val="0"/>
                <w:szCs w:val="24"/>
                <w:highlight w:val="none"/>
                <w:shd w:val="clear" w:color="auto" w:fill="FFFFFF"/>
              </w:rPr>
              <w:t>递交。</w:t>
            </w:r>
          </w:p>
          <w:p w14:paraId="292CA48F">
            <w:pPr>
              <w:snapToGrid w:val="0"/>
              <w:rPr>
                <w:rFonts w:hint="eastAsia"/>
                <w:b/>
                <w:bCs/>
                <w:snapToGrid w:val="0"/>
                <w:szCs w:val="24"/>
                <w:highlight w:val="none"/>
                <w:shd w:val="clear" w:color="auto" w:fill="FFFFFF"/>
              </w:rPr>
            </w:pPr>
            <w:r>
              <w:rPr>
                <w:rFonts w:hint="eastAsia"/>
                <w:b/>
                <w:bCs/>
                <w:snapToGrid w:val="0"/>
                <w:szCs w:val="24"/>
                <w:highlight w:val="none"/>
                <w:shd w:val="clear" w:color="auto" w:fill="FFFFFF"/>
              </w:rPr>
              <w:t>并</w:t>
            </w:r>
            <w:r>
              <w:rPr>
                <w:rFonts w:hint="eastAsia"/>
                <w:b/>
                <w:bCs/>
                <w:snapToGrid w:val="0"/>
                <w:szCs w:val="24"/>
                <w:highlight w:val="none"/>
                <w:shd w:val="clear" w:color="auto" w:fill="FFFFFF"/>
                <w:lang w:eastAsia="zh-CN"/>
              </w:rPr>
              <w:t>另行单独</w:t>
            </w:r>
            <w:r>
              <w:rPr>
                <w:rFonts w:hint="eastAsia"/>
                <w:b/>
                <w:bCs/>
                <w:snapToGrid w:val="0"/>
                <w:szCs w:val="24"/>
                <w:highlight w:val="none"/>
                <w:shd w:val="clear" w:color="auto" w:fill="FFFFFF"/>
              </w:rPr>
              <w:t>提</w:t>
            </w:r>
            <w:r>
              <w:rPr>
                <w:rFonts w:hint="eastAsia"/>
                <w:b/>
                <w:bCs/>
                <w:snapToGrid w:val="0"/>
                <w:szCs w:val="24"/>
                <w:highlight w:val="none"/>
                <w:shd w:val="clear" w:color="auto" w:fill="FFFFFF"/>
                <w:lang w:eastAsia="zh-CN"/>
              </w:rPr>
              <w:t>交</w:t>
            </w:r>
            <w:r>
              <w:rPr>
                <w:rFonts w:hint="eastAsia"/>
                <w:b/>
                <w:bCs/>
                <w:snapToGrid w:val="0"/>
                <w:szCs w:val="24"/>
                <w:highlight w:val="none"/>
                <w:shd w:val="clear" w:color="auto" w:fill="FFFFFF"/>
              </w:rPr>
              <w:t>以下证明材料，否则招标人不予接收。</w:t>
            </w:r>
          </w:p>
          <w:p w14:paraId="00B0241F">
            <w:pPr>
              <w:snapToGrid w:val="0"/>
              <w:rPr>
                <w:rFonts w:hint="eastAsia"/>
                <w:snapToGrid w:val="0"/>
                <w:szCs w:val="24"/>
                <w:highlight w:val="none"/>
                <w:shd w:val="clear" w:color="auto" w:fill="FFFFFF"/>
              </w:rPr>
            </w:pPr>
            <w:r>
              <w:rPr>
                <w:rFonts w:hint="eastAsia"/>
                <w:snapToGrid w:val="0"/>
                <w:szCs w:val="24"/>
                <w:highlight w:val="none"/>
                <w:shd w:val="clear" w:color="auto" w:fill="FFFFFF"/>
              </w:rPr>
              <w:t>（1）法定代表人亲自递交的，应提供法定代表人身份证明和法定代表人的有效身份证件；</w:t>
            </w:r>
          </w:p>
          <w:p w14:paraId="122FEA9C">
            <w:pPr>
              <w:snapToGrid w:val="0"/>
              <w:rPr>
                <w:rFonts w:hint="eastAsia" w:ascii="宋体"/>
                <w:snapToGrid w:val="0"/>
                <w:sz w:val="24"/>
                <w:szCs w:val="24"/>
                <w:highlight w:val="none"/>
                <w:shd w:val="clear" w:color="auto" w:fill="FFFFFF"/>
                <w:lang w:val="en-US" w:eastAsia="zh-CN" w:bidi="ar-SA"/>
              </w:rPr>
            </w:pPr>
            <w:r>
              <w:rPr>
                <w:rFonts w:hint="eastAsia"/>
                <w:snapToGrid w:val="0"/>
                <w:szCs w:val="24"/>
                <w:highlight w:val="none"/>
                <w:shd w:val="clear" w:color="auto" w:fill="FFFFFF"/>
              </w:rPr>
              <w:t>（2）委托代理人递交的，应提供授权委托书和委托代理人的有效身份证件。</w:t>
            </w:r>
          </w:p>
        </w:tc>
      </w:tr>
      <w:tr w14:paraId="6B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0B8E8648">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23</w:t>
            </w:r>
          </w:p>
        </w:tc>
        <w:tc>
          <w:tcPr>
            <w:tcW w:w="2285" w:type="dxa"/>
            <w:noWrap w:val="0"/>
            <w:vAlign w:val="center"/>
          </w:tcPr>
          <w:p w14:paraId="34D9E247">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递交投标文件地点</w:t>
            </w:r>
          </w:p>
        </w:tc>
        <w:tc>
          <w:tcPr>
            <w:tcW w:w="6237" w:type="dxa"/>
            <w:noWrap w:val="0"/>
            <w:vAlign w:val="center"/>
          </w:tcPr>
          <w:p w14:paraId="5BC23C8D">
            <w:pPr>
              <w:snapToGrid w:val="0"/>
              <w:rPr>
                <w:rFonts w:hint="default" w:eastAsia="宋体"/>
                <w:szCs w:val="24"/>
                <w:highlight w:val="none"/>
                <w:lang w:val="en-US" w:eastAsia="zh-CN"/>
              </w:rPr>
            </w:pPr>
            <w:r>
              <w:rPr>
                <w:rFonts w:hint="eastAsia"/>
                <w:bCs/>
                <w:snapToGrid w:val="0"/>
                <w:szCs w:val="24"/>
                <w:highlight w:val="none"/>
                <w:lang w:val="en-US" w:eastAsia="zh-CN"/>
              </w:rPr>
              <w:t xml:space="preserve"> 合肥市庐阳区</w:t>
            </w:r>
            <w:r>
              <w:rPr>
                <w:rFonts w:hint="eastAsia" w:ascii="宋体" w:hAnsi="宋体" w:eastAsia="宋体" w:cs="Times New Roman"/>
                <w:bCs/>
                <w:szCs w:val="18"/>
                <w:lang w:val="en-US" w:eastAsia="zh-CN"/>
              </w:rPr>
              <w:t>阜阳北路与龙潭桥路交口文一泊心湾S1栋 庐阳城发集团4楼426室</w:t>
            </w:r>
          </w:p>
        </w:tc>
      </w:tr>
      <w:tr w14:paraId="57CC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544A4820">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24</w:t>
            </w:r>
          </w:p>
        </w:tc>
        <w:tc>
          <w:tcPr>
            <w:tcW w:w="2285" w:type="dxa"/>
            <w:noWrap w:val="0"/>
            <w:vAlign w:val="center"/>
          </w:tcPr>
          <w:p w14:paraId="0810BBCA">
            <w:pPr>
              <w:snapToGrid w:val="0"/>
              <w:rPr>
                <w:rFonts w:hint="eastAsia"/>
                <w:szCs w:val="24"/>
                <w:highlight w:val="none"/>
              </w:rPr>
            </w:pPr>
            <w:r>
              <w:rPr>
                <w:rFonts w:hint="eastAsia"/>
                <w:szCs w:val="24"/>
                <w:highlight w:val="none"/>
              </w:rPr>
              <w:t>是否退还投标文件</w:t>
            </w:r>
          </w:p>
        </w:tc>
        <w:tc>
          <w:tcPr>
            <w:tcW w:w="6237" w:type="dxa"/>
            <w:noWrap w:val="0"/>
            <w:vAlign w:val="center"/>
          </w:tcPr>
          <w:p w14:paraId="3E3E713C">
            <w:pPr>
              <w:snapToGrid w:val="0"/>
              <w:rPr>
                <w:rFonts w:hint="eastAsia"/>
                <w:szCs w:val="24"/>
                <w:highlight w:val="none"/>
                <w:u w:val="single"/>
              </w:rPr>
            </w:pPr>
            <w:r>
              <w:rPr>
                <w:rFonts w:hint="eastAsia" w:ascii="MS Mincho" w:hAnsi="MS Mincho" w:eastAsia="MS Mincho" w:cs="MS Mincho"/>
                <w:bCs/>
                <w:snapToGrid w:val="0"/>
                <w:szCs w:val="24"/>
                <w:highlight w:val="none"/>
              </w:rPr>
              <w:sym w:font="Wingdings 2" w:char="0052"/>
            </w:r>
            <w:r>
              <w:rPr>
                <w:rFonts w:hint="eastAsia"/>
                <w:szCs w:val="24"/>
                <w:highlight w:val="none"/>
              </w:rPr>
              <w:t>否</w:t>
            </w:r>
          </w:p>
        </w:tc>
      </w:tr>
      <w:tr w14:paraId="248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58D19C91">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25</w:t>
            </w:r>
          </w:p>
        </w:tc>
        <w:tc>
          <w:tcPr>
            <w:tcW w:w="2285" w:type="dxa"/>
            <w:noWrap w:val="0"/>
            <w:vAlign w:val="center"/>
          </w:tcPr>
          <w:p w14:paraId="7DBBE03B">
            <w:pPr>
              <w:snapToGrid w:val="0"/>
              <w:rPr>
                <w:rFonts w:hint="eastAsia"/>
                <w:szCs w:val="24"/>
                <w:highlight w:val="none"/>
              </w:rPr>
            </w:pPr>
            <w:r>
              <w:rPr>
                <w:rFonts w:hint="eastAsia"/>
                <w:szCs w:val="24"/>
                <w:highlight w:val="none"/>
              </w:rPr>
              <w:t>开标时间和地点</w:t>
            </w:r>
          </w:p>
        </w:tc>
        <w:tc>
          <w:tcPr>
            <w:tcW w:w="6237" w:type="dxa"/>
            <w:noWrap w:val="0"/>
            <w:vAlign w:val="center"/>
          </w:tcPr>
          <w:p w14:paraId="27DC0C2C">
            <w:pPr>
              <w:adjustRightInd w:val="0"/>
              <w:snapToGrid w:val="0"/>
              <w:spacing w:line="300" w:lineRule="exact"/>
              <w:jc w:val="left"/>
              <w:rPr>
                <w:rFonts w:hint="eastAsia"/>
                <w:highlight w:val="none"/>
                <w:lang w:eastAsia="zh-CN"/>
              </w:rPr>
            </w:pPr>
            <w:r>
              <w:rPr>
                <w:rFonts w:hint="eastAsia"/>
                <w:highlight w:val="none"/>
                <w:lang w:eastAsia="zh-CN"/>
              </w:rPr>
              <w:t>开标时间：响应文件递交截止时间后由招标人确定</w:t>
            </w:r>
          </w:p>
          <w:p w14:paraId="010FAD74">
            <w:pPr>
              <w:adjustRightInd w:val="0"/>
              <w:snapToGrid w:val="0"/>
              <w:spacing w:line="300" w:lineRule="exact"/>
              <w:jc w:val="left"/>
              <w:rPr>
                <w:rFonts w:hint="eastAsia"/>
                <w:highlight w:val="none"/>
                <w:lang w:eastAsia="zh-CN"/>
              </w:rPr>
            </w:pPr>
            <w:r>
              <w:rPr>
                <w:rFonts w:hint="eastAsia"/>
                <w:highlight w:val="none"/>
                <w:lang w:eastAsia="zh-CN"/>
              </w:rPr>
              <w:t>开标地点：由招标人自行确定</w:t>
            </w:r>
          </w:p>
          <w:p w14:paraId="55028993">
            <w:pPr>
              <w:snapToGrid w:val="0"/>
              <w:rPr>
                <w:rFonts w:hint="eastAsia"/>
                <w:szCs w:val="24"/>
                <w:highlight w:val="none"/>
              </w:rPr>
            </w:pPr>
            <w:r>
              <w:rPr>
                <w:rFonts w:hint="eastAsia"/>
                <w:b/>
                <w:bCs/>
                <w:highlight w:val="none"/>
                <w:lang w:eastAsia="zh-CN"/>
              </w:rPr>
              <w:t>备注：投标人在规定时间内递交投标文件即可，无须现场参加开标。</w:t>
            </w:r>
          </w:p>
        </w:tc>
      </w:tr>
      <w:tr w14:paraId="74E1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935BE7D">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26</w:t>
            </w:r>
          </w:p>
        </w:tc>
        <w:tc>
          <w:tcPr>
            <w:tcW w:w="2285" w:type="dxa"/>
            <w:noWrap w:val="0"/>
            <w:vAlign w:val="center"/>
          </w:tcPr>
          <w:p w14:paraId="3971A42C">
            <w:pPr>
              <w:snapToGrid w:val="0"/>
              <w:rPr>
                <w:rFonts w:hint="eastAsia" w:ascii="楷体" w:hAnsi="楷体" w:eastAsia="楷体"/>
                <w:szCs w:val="24"/>
                <w:highlight w:val="none"/>
              </w:rPr>
            </w:pPr>
            <w:r>
              <w:rPr>
                <w:rFonts w:hint="eastAsia"/>
                <w:szCs w:val="24"/>
                <w:highlight w:val="none"/>
              </w:rPr>
              <w:t>中标通知书发出的形式</w:t>
            </w:r>
          </w:p>
        </w:tc>
        <w:tc>
          <w:tcPr>
            <w:tcW w:w="6237" w:type="dxa"/>
            <w:noWrap w:val="0"/>
            <w:vAlign w:val="center"/>
          </w:tcPr>
          <w:p w14:paraId="0BC25AE9">
            <w:pPr>
              <w:snapToGrid w:val="0"/>
              <w:rPr>
                <w:rFonts w:hint="eastAsia"/>
                <w:szCs w:val="24"/>
                <w:highlight w:val="none"/>
              </w:rPr>
            </w:pPr>
            <w:r>
              <w:rPr>
                <w:rFonts w:hint="eastAsia" w:ascii="MS Mincho" w:hAnsi="MS Mincho" w:eastAsia="宋体" w:cs="MS Mincho"/>
                <w:color w:val="000000"/>
                <w:szCs w:val="24"/>
                <w:highlight w:val="none"/>
                <w:lang w:eastAsia="zh-CN"/>
              </w:rPr>
              <w:sym w:font="Wingdings 2" w:char="0052"/>
            </w:r>
            <w:r>
              <w:rPr>
                <w:rFonts w:hint="eastAsia"/>
                <w:color w:val="000000"/>
                <w:szCs w:val="24"/>
                <w:highlight w:val="none"/>
              </w:rPr>
              <w:t xml:space="preserve">纸质  </w:t>
            </w:r>
            <w:r>
              <w:rPr>
                <w:rFonts w:hint="eastAsia"/>
                <w:color w:val="000000"/>
                <w:szCs w:val="24"/>
                <w:highlight w:val="none"/>
              </w:rPr>
              <w:sym w:font="Wingdings 2" w:char="00A3"/>
            </w:r>
            <w:r>
              <w:rPr>
                <w:rFonts w:hint="eastAsia"/>
                <w:color w:val="000000"/>
                <w:szCs w:val="24"/>
                <w:highlight w:val="none"/>
              </w:rPr>
              <w:t>数据电文</w:t>
            </w:r>
          </w:p>
        </w:tc>
      </w:tr>
      <w:tr w14:paraId="4063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AD46076">
            <w:pPr>
              <w:snapToGrid w:val="0"/>
              <w:jc w:val="center"/>
              <w:rPr>
                <w:rFonts w:hint="default" w:ascii="宋体" w:hAnsi="Times New Roman" w:eastAsia="楷体" w:cs="Times New Roman"/>
                <w:bCs/>
                <w:snapToGrid w:val="0"/>
                <w:sz w:val="24"/>
                <w:szCs w:val="24"/>
                <w:highlight w:val="none"/>
                <w:lang w:val="en-US" w:eastAsia="zh-CN" w:bidi="ar-SA"/>
              </w:rPr>
            </w:pPr>
            <w:r>
              <w:rPr>
                <w:rFonts w:hint="eastAsia"/>
                <w:szCs w:val="24"/>
                <w:highlight w:val="none"/>
                <w:lang w:val="en-US" w:eastAsia="zh-CN"/>
              </w:rPr>
              <w:t>27</w:t>
            </w:r>
          </w:p>
        </w:tc>
        <w:tc>
          <w:tcPr>
            <w:tcW w:w="2285" w:type="dxa"/>
            <w:noWrap w:val="0"/>
            <w:vAlign w:val="center"/>
          </w:tcPr>
          <w:p w14:paraId="20A05185">
            <w:pPr>
              <w:snapToGrid w:val="0"/>
              <w:rPr>
                <w:rFonts w:hint="eastAsia" w:ascii="楷体" w:hAnsi="楷体" w:eastAsia="楷体"/>
                <w:szCs w:val="24"/>
                <w:highlight w:val="none"/>
              </w:rPr>
            </w:pPr>
            <w:r>
              <w:rPr>
                <w:rFonts w:hint="eastAsia"/>
                <w:szCs w:val="24"/>
                <w:highlight w:val="none"/>
              </w:rPr>
              <w:t>中标结果公示媒介</w:t>
            </w:r>
          </w:p>
        </w:tc>
        <w:tc>
          <w:tcPr>
            <w:tcW w:w="6237" w:type="dxa"/>
            <w:noWrap w:val="0"/>
            <w:vAlign w:val="center"/>
          </w:tcPr>
          <w:p w14:paraId="736FD258">
            <w:pPr>
              <w:snapToGrid w:val="0"/>
              <w:rPr>
                <w:rFonts w:hint="eastAsia" w:ascii="楷体" w:hAnsi="楷体" w:eastAsia="楷体"/>
                <w:szCs w:val="24"/>
                <w:highlight w:val="none"/>
              </w:rPr>
            </w:pPr>
            <w:r>
              <w:rPr>
                <w:rFonts w:hint="eastAsia"/>
                <w:szCs w:val="24"/>
                <w:highlight w:val="none"/>
              </w:rPr>
              <w:t>公示媒介：同招标公告发布媒介</w:t>
            </w:r>
          </w:p>
        </w:tc>
      </w:tr>
      <w:tr w14:paraId="4DC8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18E3FDBB">
            <w:pPr>
              <w:snapToGrid w:val="0"/>
              <w:jc w:val="center"/>
              <w:rPr>
                <w:rFonts w:hint="default" w:ascii="宋体" w:hAnsi="Times New Roman" w:eastAsia="楷体" w:cs="Times New Roman"/>
                <w:bCs/>
                <w:snapToGrid w:val="0"/>
                <w:sz w:val="24"/>
                <w:szCs w:val="24"/>
                <w:highlight w:val="none"/>
                <w:lang w:val="en-US" w:eastAsia="zh-CN" w:bidi="ar-SA"/>
              </w:rPr>
            </w:pPr>
            <w:r>
              <w:rPr>
                <w:rFonts w:hint="eastAsia"/>
                <w:szCs w:val="24"/>
                <w:highlight w:val="none"/>
                <w:lang w:val="en-US" w:eastAsia="zh-CN"/>
              </w:rPr>
              <w:t>28</w:t>
            </w:r>
          </w:p>
        </w:tc>
        <w:tc>
          <w:tcPr>
            <w:tcW w:w="2285" w:type="dxa"/>
            <w:noWrap w:val="0"/>
            <w:vAlign w:val="center"/>
          </w:tcPr>
          <w:p w14:paraId="7951D7B9">
            <w:pPr>
              <w:snapToGrid w:val="0"/>
              <w:jc w:val="left"/>
              <w:rPr>
                <w:rFonts w:hint="eastAsia" w:ascii="楷体" w:hAnsi="楷体" w:eastAsia="楷体"/>
                <w:bCs/>
                <w:snapToGrid w:val="0"/>
                <w:szCs w:val="24"/>
                <w:highlight w:val="none"/>
              </w:rPr>
            </w:pPr>
            <w:r>
              <w:rPr>
                <w:rFonts w:hint="eastAsia"/>
                <w:bCs/>
                <w:snapToGrid w:val="0"/>
                <w:szCs w:val="24"/>
                <w:highlight w:val="none"/>
              </w:rPr>
              <w:t>其他</w:t>
            </w:r>
          </w:p>
        </w:tc>
        <w:tc>
          <w:tcPr>
            <w:tcW w:w="6237" w:type="dxa"/>
            <w:noWrap w:val="0"/>
            <w:vAlign w:val="center"/>
          </w:tcPr>
          <w:p w14:paraId="4990DF12">
            <w:pPr>
              <w:snapToGrid w:val="0"/>
              <w:rPr>
                <w:rFonts w:hint="eastAsia"/>
                <w:bCs/>
                <w:snapToGrid w:val="0"/>
                <w:szCs w:val="24"/>
                <w:highlight w:val="none"/>
              </w:rPr>
            </w:pPr>
            <w:r>
              <w:rPr>
                <w:rFonts w:hint="eastAsia"/>
                <w:bCs/>
                <w:snapToGrid w:val="0"/>
                <w:szCs w:val="24"/>
                <w:highlight w:val="none"/>
              </w:rPr>
              <w:t>（1）项目经理必须是投标人本单位工作人员，提供虚假资料谋取中标的将报监管部门处理。</w:t>
            </w:r>
          </w:p>
          <w:p w14:paraId="04600A6C">
            <w:pPr>
              <w:snapToGrid w:val="0"/>
              <w:rPr>
                <w:rFonts w:hint="eastAsia"/>
                <w:bCs/>
                <w:snapToGrid w:val="0"/>
                <w:szCs w:val="24"/>
                <w:highlight w:val="none"/>
              </w:rPr>
            </w:pPr>
            <w:r>
              <w:rPr>
                <w:rFonts w:hint="eastAsia"/>
                <w:bCs/>
                <w:snapToGrid w:val="0"/>
                <w:szCs w:val="24"/>
                <w:highlight w:val="none"/>
              </w:rPr>
              <w:t xml:space="preserve">（2）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  </w:t>
            </w:r>
          </w:p>
        </w:tc>
      </w:tr>
      <w:tr w14:paraId="27C6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F3F52D3">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29</w:t>
            </w:r>
          </w:p>
        </w:tc>
        <w:tc>
          <w:tcPr>
            <w:tcW w:w="2285" w:type="dxa"/>
            <w:noWrap w:val="0"/>
            <w:vAlign w:val="center"/>
          </w:tcPr>
          <w:p w14:paraId="537E950A">
            <w:pPr>
              <w:snapToGrid w:val="0"/>
              <w:rPr>
                <w:rFonts w:hint="eastAsia" w:ascii="楷体" w:hAnsi="楷体" w:eastAsia="楷体"/>
                <w:szCs w:val="24"/>
                <w:highlight w:val="none"/>
              </w:rPr>
            </w:pPr>
            <w:r>
              <w:rPr>
                <w:rFonts w:hint="eastAsia"/>
                <w:szCs w:val="24"/>
                <w:highlight w:val="none"/>
              </w:rPr>
              <w:t>同义词语</w:t>
            </w:r>
          </w:p>
        </w:tc>
        <w:tc>
          <w:tcPr>
            <w:tcW w:w="6237" w:type="dxa"/>
            <w:noWrap w:val="0"/>
            <w:vAlign w:val="center"/>
          </w:tcPr>
          <w:p w14:paraId="2D5CA802">
            <w:pPr>
              <w:snapToGrid w:val="0"/>
              <w:rPr>
                <w:rFonts w:hint="eastAsia"/>
                <w:szCs w:val="24"/>
                <w:highlight w:val="none"/>
              </w:rPr>
            </w:pPr>
            <w:r>
              <w:rPr>
                <w:rFonts w:hint="eastAsia"/>
                <w:szCs w:val="24"/>
                <w:highlight w:val="none"/>
              </w:rPr>
              <w:t>构成</w:t>
            </w:r>
            <w:r>
              <w:rPr>
                <w:rFonts w:hint="eastAsia"/>
                <w:szCs w:val="24"/>
                <w:highlight w:val="none"/>
                <w:lang w:eastAsia="zh-CN"/>
              </w:rPr>
              <w:t>磋商文件</w:t>
            </w:r>
            <w:r>
              <w:rPr>
                <w:rFonts w:hint="eastAsia"/>
                <w:szCs w:val="24"/>
                <w:highlight w:val="none"/>
              </w:rPr>
              <w:t>组成部分的“通用合同条款”、“专用合同条款”、“技术标准和要求”和“工程量清单”等章节中 “发包人”和“承包人”，等同于招标投标阶段的“招标人”和“投标人/中标人”。</w:t>
            </w:r>
          </w:p>
        </w:tc>
      </w:tr>
      <w:tr w14:paraId="57E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737" w:type="dxa"/>
            <w:noWrap w:val="0"/>
            <w:vAlign w:val="center"/>
          </w:tcPr>
          <w:p w14:paraId="5ADEAB71">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30</w:t>
            </w:r>
          </w:p>
        </w:tc>
        <w:tc>
          <w:tcPr>
            <w:tcW w:w="2285" w:type="dxa"/>
            <w:noWrap w:val="0"/>
            <w:vAlign w:val="center"/>
          </w:tcPr>
          <w:p w14:paraId="352171A7">
            <w:pPr>
              <w:snapToGrid w:val="0"/>
              <w:rPr>
                <w:rFonts w:hint="eastAsia" w:ascii="楷体" w:hAnsi="楷体" w:eastAsia="楷体"/>
                <w:szCs w:val="24"/>
                <w:highlight w:val="none"/>
              </w:rPr>
            </w:pPr>
            <w:r>
              <w:rPr>
                <w:rFonts w:hint="eastAsia"/>
                <w:szCs w:val="24"/>
                <w:highlight w:val="none"/>
              </w:rPr>
              <w:t>解释权</w:t>
            </w:r>
          </w:p>
        </w:tc>
        <w:tc>
          <w:tcPr>
            <w:tcW w:w="6237" w:type="dxa"/>
            <w:noWrap w:val="0"/>
            <w:vAlign w:val="center"/>
          </w:tcPr>
          <w:p w14:paraId="098065A6">
            <w:pPr>
              <w:snapToGrid w:val="0"/>
              <w:rPr>
                <w:rFonts w:hint="eastAsia"/>
                <w:szCs w:val="24"/>
                <w:highlight w:val="none"/>
              </w:rPr>
            </w:pPr>
            <w:r>
              <w:rPr>
                <w:rFonts w:hint="eastAsia"/>
                <w:szCs w:val="24"/>
                <w:highlight w:val="none"/>
              </w:rPr>
              <w:t>(1)构成本</w:t>
            </w:r>
            <w:r>
              <w:rPr>
                <w:rFonts w:hint="eastAsia"/>
                <w:szCs w:val="24"/>
                <w:highlight w:val="none"/>
                <w:lang w:eastAsia="zh-CN"/>
              </w:rPr>
              <w:t>磋商文件</w:t>
            </w:r>
            <w:r>
              <w:rPr>
                <w:rFonts w:hint="eastAsia"/>
                <w:szCs w:val="24"/>
                <w:highlight w:val="none"/>
              </w:rPr>
              <w:t>的各个组成文件应互为解释，互为说明；</w:t>
            </w:r>
          </w:p>
          <w:p w14:paraId="54BBADD6">
            <w:pPr>
              <w:snapToGrid w:val="0"/>
              <w:rPr>
                <w:rFonts w:hint="eastAsia"/>
                <w:szCs w:val="24"/>
                <w:highlight w:val="none"/>
              </w:rPr>
            </w:pPr>
            <w:r>
              <w:rPr>
                <w:rFonts w:hint="eastAsia"/>
                <w:szCs w:val="24"/>
                <w:highlight w:val="none"/>
              </w:rPr>
              <w:t>(2)同一组成文件中就同一事项的规定或约定不一致的，以编排顺序在后者为准；</w:t>
            </w:r>
          </w:p>
          <w:p w14:paraId="530FDD29">
            <w:pPr>
              <w:snapToGrid w:val="0"/>
              <w:rPr>
                <w:rFonts w:hint="eastAsia"/>
                <w:szCs w:val="24"/>
                <w:highlight w:val="none"/>
              </w:rPr>
            </w:pPr>
            <w:r>
              <w:rPr>
                <w:rFonts w:hint="eastAsia"/>
                <w:szCs w:val="24"/>
                <w:highlight w:val="none"/>
              </w:rPr>
              <w:t>(3)如有不明确或不一致，构成合同文件组成内容的，以合同文件约定内容为准，且以专用合同条款约定的合同文件优先顺序解释；</w:t>
            </w:r>
          </w:p>
          <w:p w14:paraId="5C1B907C">
            <w:pPr>
              <w:snapToGrid w:val="0"/>
              <w:rPr>
                <w:rFonts w:hint="eastAsia"/>
                <w:szCs w:val="24"/>
                <w:highlight w:val="none"/>
              </w:rPr>
            </w:pPr>
            <w:r>
              <w:rPr>
                <w:rFonts w:hint="eastAsia"/>
                <w:szCs w:val="24"/>
                <w:highlight w:val="none"/>
              </w:rPr>
              <w:t>(4)除</w:t>
            </w:r>
            <w:r>
              <w:rPr>
                <w:rFonts w:hint="eastAsia"/>
                <w:szCs w:val="24"/>
                <w:highlight w:val="none"/>
                <w:lang w:eastAsia="zh-CN"/>
              </w:rPr>
              <w:t>磋商文件</w:t>
            </w:r>
            <w:r>
              <w:rPr>
                <w:rFonts w:hint="eastAsia"/>
                <w:szCs w:val="24"/>
                <w:highlight w:val="none"/>
              </w:rPr>
              <w:t>中有特别规定外，仅适用于招标投标阶段的规定，按招标公告、投标人须知、评标办法、投标文件格式的先后顺序解释；</w:t>
            </w:r>
          </w:p>
          <w:p w14:paraId="17BB3090">
            <w:pPr>
              <w:snapToGrid w:val="0"/>
              <w:rPr>
                <w:rFonts w:hint="eastAsia"/>
                <w:szCs w:val="24"/>
                <w:highlight w:val="none"/>
              </w:rPr>
            </w:pPr>
            <w:r>
              <w:rPr>
                <w:rFonts w:hint="eastAsia"/>
                <w:szCs w:val="24"/>
                <w:highlight w:val="none"/>
              </w:rPr>
              <w:t>(5)按本款前述规定仍不能形成结论的，由招标人负责解释。</w:t>
            </w:r>
          </w:p>
        </w:tc>
      </w:tr>
      <w:tr w14:paraId="4B81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737" w:type="dxa"/>
            <w:noWrap w:val="0"/>
            <w:vAlign w:val="center"/>
          </w:tcPr>
          <w:p w14:paraId="72A1B811">
            <w:pPr>
              <w:snapToGrid w:val="0"/>
              <w:jc w:val="center"/>
              <w:rPr>
                <w:rFonts w:hint="default"/>
                <w:szCs w:val="24"/>
                <w:highlight w:val="none"/>
                <w:lang w:val="en-US" w:eastAsia="zh-CN"/>
              </w:rPr>
            </w:pPr>
            <w:r>
              <w:rPr>
                <w:rFonts w:hint="eastAsia"/>
                <w:szCs w:val="24"/>
                <w:highlight w:val="none"/>
                <w:lang w:val="en-US" w:eastAsia="zh-CN"/>
              </w:rPr>
              <w:t>31</w:t>
            </w:r>
          </w:p>
        </w:tc>
        <w:tc>
          <w:tcPr>
            <w:tcW w:w="2285" w:type="dxa"/>
            <w:noWrap w:val="0"/>
            <w:vAlign w:val="center"/>
          </w:tcPr>
          <w:p w14:paraId="4632AFF0">
            <w:pPr>
              <w:snapToGrid w:val="0"/>
              <w:rPr>
                <w:rFonts w:hint="eastAsia" w:eastAsia="宋体"/>
                <w:szCs w:val="24"/>
                <w:highlight w:val="none"/>
                <w:lang w:eastAsia="zh-CN"/>
              </w:rPr>
            </w:pPr>
            <w:r>
              <w:rPr>
                <w:rFonts w:hint="eastAsia"/>
                <w:szCs w:val="24"/>
                <w:highlight w:val="none"/>
              </w:rPr>
              <w:t>社保证明材料</w:t>
            </w:r>
            <w:r>
              <w:rPr>
                <w:rFonts w:hint="eastAsia"/>
                <w:szCs w:val="24"/>
                <w:highlight w:val="none"/>
                <w:lang w:eastAsia="zh-CN"/>
              </w:rPr>
              <w:t>（</w:t>
            </w:r>
            <w:r>
              <w:rPr>
                <w:rFonts w:hint="eastAsia"/>
                <w:szCs w:val="24"/>
                <w:highlight w:val="none"/>
                <w:lang w:val="en-US" w:eastAsia="zh-CN"/>
              </w:rPr>
              <w:t>如要求</w:t>
            </w:r>
            <w:r>
              <w:rPr>
                <w:rFonts w:hint="eastAsia"/>
                <w:szCs w:val="24"/>
                <w:highlight w:val="none"/>
                <w:lang w:eastAsia="zh-CN"/>
              </w:rPr>
              <w:t>）</w:t>
            </w:r>
          </w:p>
        </w:tc>
        <w:tc>
          <w:tcPr>
            <w:tcW w:w="6237" w:type="dxa"/>
            <w:noWrap w:val="0"/>
            <w:vAlign w:val="center"/>
          </w:tcPr>
          <w:p w14:paraId="0E6F25F7">
            <w:pPr>
              <w:snapToGrid w:val="0"/>
              <w:rPr>
                <w:rFonts w:hint="eastAsia"/>
              </w:rPr>
            </w:pPr>
            <w:r>
              <w:rPr>
                <w:rFonts w:hint="eastAsia"/>
              </w:rPr>
              <w:t>本项目招标文件中要求提供的社保</w:t>
            </w:r>
            <w:r>
              <w:t>证明材料</w:t>
            </w:r>
            <w:r>
              <w:rPr>
                <w:rFonts w:hint="eastAsia"/>
              </w:rPr>
              <w:t>为下述形式之一（投标文件中须提供扫描件）：</w:t>
            </w:r>
          </w:p>
          <w:p w14:paraId="01075366">
            <w:pPr>
              <w:snapToGrid w:val="0"/>
              <w:rPr>
                <w:rFonts w:hint="eastAsia" w:ascii="宋体" w:hAnsi="Times New Roman" w:eastAsia="宋体" w:cs="Times New Roman"/>
              </w:rPr>
            </w:pPr>
            <w:r>
              <w:rPr>
                <w:rFonts w:hint="eastAsia" w:ascii="宋体" w:hAnsi="Times New Roman" w:eastAsia="宋体" w:cs="Times New Roman"/>
              </w:rPr>
              <w:t>（1）社保局官方网站查询的缴费记录截图；</w:t>
            </w:r>
          </w:p>
          <w:p w14:paraId="44EB48CE">
            <w:pPr>
              <w:snapToGrid w:val="0"/>
              <w:rPr>
                <w:rFonts w:hint="eastAsia" w:ascii="宋体" w:hAnsi="Times New Roman" w:eastAsia="宋体" w:cs="Times New Roman"/>
              </w:rPr>
            </w:pPr>
            <w:r>
              <w:rPr>
                <w:rFonts w:hint="eastAsia" w:ascii="宋体" w:hAnsi="Times New Roman" w:eastAsia="宋体" w:cs="Times New Roman"/>
              </w:rPr>
              <w:t>（2）社保局的书面证明材料；</w:t>
            </w:r>
          </w:p>
          <w:p w14:paraId="2F100865">
            <w:pPr>
              <w:snapToGrid w:val="0"/>
              <w:rPr>
                <w:rFonts w:hint="eastAsia" w:ascii="宋体" w:hAnsi="Times New Roman" w:eastAsia="宋体" w:cs="Times New Roman"/>
              </w:rPr>
            </w:pPr>
            <w:r>
              <w:rPr>
                <w:rFonts w:hint="eastAsia" w:ascii="宋体" w:hAnsi="Times New Roman" w:eastAsia="宋体" w:cs="Times New Roman"/>
              </w:rPr>
              <w:t>（3）经投标人委托的第三方人力资源服务机构或与投标人有直接隶属关系的机构可以代缴社保，但须提供有关证明材料并经评标委员会确认。</w:t>
            </w:r>
          </w:p>
          <w:p w14:paraId="0D20B55E">
            <w:pPr>
              <w:snapToGrid w:val="0"/>
              <w:rPr>
                <w:rFonts w:hint="eastAsia" w:ascii="宋体" w:hAnsi="Times New Roman" w:eastAsia="宋体" w:cs="Times New Roman"/>
              </w:rPr>
            </w:pPr>
            <w:r>
              <w:rPr>
                <w:rFonts w:hint="eastAsia" w:ascii="宋体" w:hAnsi="Times New Roman" w:eastAsia="宋体" w:cs="Times New Roman"/>
              </w:rPr>
              <w:t>（4）参与投标的院校，社保证明可以用以下任意一种：</w:t>
            </w:r>
          </w:p>
          <w:p w14:paraId="3F07FAE3">
            <w:pPr>
              <w:snapToGrid w:val="0"/>
              <w:rPr>
                <w:rFonts w:hint="eastAsia" w:ascii="宋体" w:hAnsi="Times New Roman" w:eastAsia="宋体" w:cs="Times New Roman"/>
              </w:rPr>
            </w:pPr>
            <w:r>
              <w:rPr>
                <w:rFonts w:hint="eastAsia" w:ascii="宋体" w:hAnsi="Times New Roman" w:eastAsia="宋体" w:cs="Times New Roman"/>
              </w:rPr>
              <w:t>①加盖投标人公章的教师证（须为本单位人员）；</w:t>
            </w:r>
          </w:p>
          <w:p w14:paraId="43C44A4E">
            <w:pPr>
              <w:snapToGrid w:val="0"/>
              <w:rPr>
                <w:rFonts w:hint="eastAsia" w:ascii="宋体" w:hAnsi="Times New Roman" w:eastAsia="宋体" w:cs="Times New Roman"/>
              </w:rPr>
            </w:pPr>
            <w:r>
              <w:rPr>
                <w:rFonts w:hint="eastAsia" w:ascii="宋体" w:hAnsi="Times New Roman" w:eastAsia="宋体" w:cs="Times New Roman"/>
              </w:rPr>
              <w:t>②医保证明材料。</w:t>
            </w:r>
          </w:p>
          <w:p w14:paraId="35E0B46C">
            <w:pPr>
              <w:snapToGrid w:val="0"/>
              <w:rPr>
                <w:rFonts w:hint="eastAsia" w:ascii="宋体" w:hAnsi="Times New Roman" w:eastAsia="宋体" w:cs="Times New Roman"/>
              </w:rPr>
            </w:pPr>
            <w:r>
              <w:rPr>
                <w:rFonts w:hint="eastAsia" w:ascii="宋体" w:hAnsi="Times New Roman" w:eastAsia="宋体" w:cs="Times New Roman"/>
              </w:rPr>
              <w:t>（5）其他经评标委员会认可的证明材料。</w:t>
            </w:r>
          </w:p>
          <w:p w14:paraId="7B21F4C1">
            <w:pPr>
              <w:snapToGrid w:val="0"/>
              <w:rPr>
                <w:rFonts w:hint="eastAsia"/>
              </w:rPr>
            </w:pPr>
            <w:r>
              <w:rPr>
                <w:rFonts w:hint="eastAsia" w:ascii="宋体" w:hAnsi="Times New Roman" w:eastAsia="宋体" w:cs="Times New Roman"/>
              </w:rPr>
              <w:t>（6）法定代表人参与项目的，无需提供社保证明材料，提供身份证明扫描件即可。</w:t>
            </w:r>
          </w:p>
        </w:tc>
      </w:tr>
    </w:tbl>
    <w:p w14:paraId="0C0D0099">
      <w:pPr>
        <w:rPr>
          <w:highlight w:val="none"/>
        </w:rPr>
      </w:pPr>
    </w:p>
    <w:p w14:paraId="24F7902F">
      <w:pPr>
        <w:rPr>
          <w:rFonts w:ascii="黑体" w:eastAsia="黑体"/>
          <w:sz w:val="28"/>
          <w:szCs w:val="28"/>
          <w:highlight w:val="none"/>
        </w:rPr>
      </w:pPr>
    </w:p>
    <w:p w14:paraId="42304A52">
      <w:pPr>
        <w:pStyle w:val="29"/>
        <w:adjustRightInd w:val="0"/>
        <w:snapToGrid w:val="0"/>
        <w:spacing w:line="400" w:lineRule="exact"/>
        <w:jc w:val="left"/>
        <w:rPr>
          <w:rFonts w:hint="eastAsia" w:ascii="Times New Roman" w:hAnsi="Times New Roman"/>
          <w:bCs/>
          <w:snapToGrid w:val="0"/>
          <w:kern w:val="0"/>
          <w:szCs w:val="21"/>
          <w:highlight w:val="none"/>
        </w:rPr>
      </w:pPr>
      <w:bookmarkStart w:id="5" w:name="_Toc460226994"/>
      <w:bookmarkStart w:id="6" w:name="_Toc184635071"/>
      <w:bookmarkStart w:id="7" w:name="_Toc460226725"/>
      <w:bookmarkStart w:id="8" w:name="_Toc460660067"/>
    </w:p>
    <w:p w14:paraId="30431481">
      <w:pPr>
        <w:pStyle w:val="29"/>
        <w:adjustRightInd w:val="0"/>
        <w:snapToGrid w:val="0"/>
        <w:spacing w:line="400" w:lineRule="exact"/>
        <w:jc w:val="left"/>
        <w:rPr>
          <w:rFonts w:ascii="Times New Roman" w:hAnsi="Times New Roman"/>
          <w:bCs/>
          <w:snapToGrid w:val="0"/>
          <w:kern w:val="0"/>
          <w:szCs w:val="21"/>
          <w:highlight w:val="none"/>
        </w:rPr>
        <w:sectPr>
          <w:headerReference r:id="rId6" w:type="default"/>
          <w:footerReference r:id="rId7" w:type="default"/>
          <w:footnotePr>
            <w:numFmt w:val="decimalEnclosedCircleChinese"/>
            <w:numRestart w:val="eachPage"/>
          </w:footnotePr>
          <w:pgSz w:w="11906" w:h="16838"/>
          <w:pgMar w:top="1588" w:right="1701" w:bottom="1418" w:left="1701" w:header="851" w:footer="851" w:gutter="0"/>
          <w:cols w:space="720" w:num="1"/>
          <w:docGrid w:type="lines" w:linePitch="312" w:charSpace="0"/>
        </w:sectPr>
      </w:pPr>
    </w:p>
    <w:bookmarkEnd w:id="5"/>
    <w:bookmarkEnd w:id="6"/>
    <w:bookmarkEnd w:id="7"/>
    <w:bookmarkEnd w:id="8"/>
    <w:p w14:paraId="79977F45">
      <w:pPr>
        <w:pStyle w:val="3"/>
        <w:spacing w:line="500" w:lineRule="exact"/>
        <w:ind w:firstLine="0"/>
        <w:jc w:val="center"/>
        <w:outlineLvl w:val="0"/>
        <w:rPr>
          <w:rFonts w:hint="eastAsia" w:ascii="宋体" w:hAnsi="宋体" w:eastAsia="宋体"/>
          <w:b/>
          <w:bCs/>
          <w:sz w:val="22"/>
          <w:szCs w:val="22"/>
          <w:lang w:eastAsia="zh-CN"/>
        </w:rPr>
      </w:pPr>
      <w:bookmarkStart w:id="9" w:name="_Toc23172"/>
      <w:r>
        <w:rPr>
          <w:rFonts w:hint="eastAsia" w:ascii="宋体" w:hAnsi="宋体" w:eastAsia="宋体"/>
          <w:b/>
          <w:bCs/>
          <w:sz w:val="40"/>
          <w:szCs w:val="21"/>
        </w:rPr>
        <w:t>投标人须知</w:t>
      </w:r>
      <w:r>
        <w:rPr>
          <w:rFonts w:hint="eastAsia" w:ascii="宋体" w:hAnsi="宋体" w:eastAsia="宋体"/>
          <w:b/>
          <w:bCs/>
          <w:sz w:val="40"/>
          <w:szCs w:val="21"/>
          <w:lang w:eastAsia="zh-CN"/>
        </w:rPr>
        <w:t>正文</w:t>
      </w:r>
      <w:bookmarkEnd w:id="9"/>
    </w:p>
    <w:p w14:paraId="6C6CDC34">
      <w:pPr>
        <w:pStyle w:val="5"/>
        <w:spacing w:line="500" w:lineRule="exact"/>
        <w:jc w:val="both"/>
        <w:rPr>
          <w:rFonts w:hAnsi="宋体"/>
          <w:sz w:val="28"/>
        </w:rPr>
      </w:pPr>
      <w:bookmarkStart w:id="10" w:name="_Hlt509650126"/>
      <w:bookmarkEnd w:id="10"/>
      <w:bookmarkStart w:id="11" w:name="_Hlt509649722"/>
      <w:bookmarkEnd w:id="11"/>
      <w:bookmarkStart w:id="12" w:name="_Hlt509650686"/>
      <w:bookmarkEnd w:id="12"/>
      <w:bookmarkStart w:id="13" w:name="_Hlt509649998"/>
      <w:bookmarkEnd w:id="13"/>
      <w:bookmarkStart w:id="14" w:name="_Hlt526418143"/>
      <w:bookmarkEnd w:id="14"/>
      <w:bookmarkStart w:id="15" w:name="_Hlt509650955"/>
      <w:bookmarkEnd w:id="15"/>
      <w:bookmarkStart w:id="16" w:name="_Toc50128749"/>
      <w:bookmarkStart w:id="17" w:name="_Toc16130"/>
      <w:r>
        <w:rPr>
          <w:rFonts w:hint="eastAsia" w:hAnsi="宋体"/>
          <w:sz w:val="28"/>
        </w:rPr>
        <w:t>一．总    则</w:t>
      </w:r>
      <w:bookmarkEnd w:id="16"/>
    </w:p>
    <w:p w14:paraId="27C73843">
      <w:pPr>
        <w:spacing w:line="360" w:lineRule="auto"/>
        <w:ind w:firstLine="550"/>
        <w:rPr>
          <w:rFonts w:hAnsi="宋体"/>
          <w:b/>
          <w:szCs w:val="24"/>
        </w:rPr>
      </w:pPr>
      <w:r>
        <w:rPr>
          <w:rFonts w:hAnsi="宋体"/>
          <w:b/>
          <w:szCs w:val="24"/>
        </w:rPr>
        <w:t>1</w:t>
      </w:r>
      <w:r>
        <w:rPr>
          <w:rFonts w:hint="eastAsia" w:hAnsi="宋体"/>
          <w:b/>
          <w:szCs w:val="24"/>
        </w:rPr>
        <w:t>.适用范围</w:t>
      </w:r>
    </w:p>
    <w:p w14:paraId="1C7CC6EB">
      <w:pPr>
        <w:spacing w:line="360" w:lineRule="auto"/>
        <w:ind w:firstLine="550"/>
        <w:rPr>
          <w:rFonts w:hAnsi="宋体"/>
          <w:szCs w:val="24"/>
        </w:rPr>
      </w:pPr>
      <w:r>
        <w:rPr>
          <w:rFonts w:hAnsi="宋体"/>
          <w:szCs w:val="24"/>
        </w:rPr>
        <w:t>1.</w:t>
      </w:r>
      <w:r>
        <w:rPr>
          <w:rFonts w:hint="eastAsia" w:hAnsi="宋体"/>
          <w:szCs w:val="24"/>
        </w:rPr>
        <w:t>1本磋商文件仅适用于本次磋商公告所述项目招标。</w:t>
      </w:r>
    </w:p>
    <w:p w14:paraId="26F50104">
      <w:pPr>
        <w:spacing w:line="360" w:lineRule="auto"/>
        <w:ind w:firstLine="550"/>
        <w:rPr>
          <w:rFonts w:hAnsi="宋体"/>
          <w:b/>
          <w:szCs w:val="24"/>
        </w:rPr>
      </w:pPr>
      <w:r>
        <w:rPr>
          <w:rFonts w:hint="eastAsia" w:hAnsi="宋体"/>
          <w:b/>
          <w:szCs w:val="24"/>
        </w:rPr>
        <w:t>2.有关定义</w:t>
      </w:r>
    </w:p>
    <w:p w14:paraId="162FCDEA">
      <w:pPr>
        <w:spacing w:line="360" w:lineRule="auto"/>
        <w:ind w:firstLine="550"/>
        <w:rPr>
          <w:rFonts w:hAnsi="宋体"/>
          <w:szCs w:val="24"/>
        </w:rPr>
      </w:pPr>
      <w:r>
        <w:rPr>
          <w:rFonts w:hint="eastAsia" w:hAnsi="宋体"/>
          <w:szCs w:val="24"/>
        </w:rPr>
        <w:t>2.1招标人：系指本次招标项目的业主方。</w:t>
      </w:r>
    </w:p>
    <w:p w14:paraId="2C2266F9">
      <w:pPr>
        <w:spacing w:line="360" w:lineRule="auto"/>
        <w:ind w:firstLine="550"/>
        <w:rPr>
          <w:rFonts w:hAnsi="宋体"/>
          <w:szCs w:val="24"/>
        </w:rPr>
      </w:pPr>
      <w:r>
        <w:rPr>
          <w:rFonts w:hint="eastAsia" w:hAnsi="宋体"/>
          <w:szCs w:val="24"/>
        </w:rPr>
        <w:t>2.2委托人：系指本次招标项目的委托方。</w:t>
      </w:r>
    </w:p>
    <w:p w14:paraId="49A72BBD">
      <w:pPr>
        <w:spacing w:line="360" w:lineRule="auto"/>
        <w:ind w:firstLine="550"/>
        <w:rPr>
          <w:rFonts w:hAnsi="宋体"/>
          <w:szCs w:val="24"/>
        </w:rPr>
      </w:pPr>
      <w:r>
        <w:rPr>
          <w:rFonts w:hint="eastAsia" w:hAnsi="宋体"/>
          <w:szCs w:val="24"/>
        </w:rPr>
        <w:t>2.</w:t>
      </w:r>
      <w:r>
        <w:rPr>
          <w:rFonts w:hint="eastAsia" w:hAnsi="宋体"/>
          <w:szCs w:val="24"/>
          <w:lang w:val="en-US" w:eastAsia="zh-CN"/>
        </w:rPr>
        <w:t>3</w:t>
      </w:r>
      <w:r>
        <w:rPr>
          <w:rFonts w:hint="eastAsia" w:hAnsi="宋体"/>
          <w:szCs w:val="24"/>
        </w:rPr>
        <w:t>投标人：系指按规定获取了本磋商文件，且已经提交或准备提交本次响应文件的法人或者其他组织。</w:t>
      </w:r>
    </w:p>
    <w:p w14:paraId="7E7C065A">
      <w:pPr>
        <w:spacing w:line="360" w:lineRule="auto"/>
        <w:ind w:firstLine="550"/>
        <w:rPr>
          <w:rFonts w:hAnsi="宋体"/>
        </w:rPr>
      </w:pPr>
      <w:r>
        <w:rPr>
          <w:rFonts w:hint="eastAsia" w:hAnsi="宋体"/>
          <w:b/>
        </w:rPr>
        <w:t>2.</w:t>
      </w:r>
      <w:r>
        <w:rPr>
          <w:rFonts w:hint="eastAsia" w:hAnsi="宋体"/>
          <w:b/>
          <w:lang w:val="en-US" w:eastAsia="zh-CN"/>
        </w:rPr>
        <w:t>4</w:t>
      </w:r>
      <w:r>
        <w:rPr>
          <w:rFonts w:hint="eastAsia" w:hAnsi="宋体"/>
          <w:b/>
        </w:rPr>
        <w:t>业绩：</w:t>
      </w:r>
      <w:r>
        <w:rPr>
          <w:rFonts w:hint="eastAsia" w:hAnsi="宋体"/>
        </w:rPr>
        <w:t>投标人与其关联公司（如母公司、分公司、全资子公司、控股子公司、同一法定代表人的公司）之间签订的合同，均不予认可。</w:t>
      </w:r>
    </w:p>
    <w:p w14:paraId="26AB229E">
      <w:pPr>
        <w:spacing w:line="360" w:lineRule="auto"/>
        <w:ind w:firstLine="550"/>
        <w:rPr>
          <w:rFonts w:hAnsi="宋体"/>
          <w:b/>
          <w:szCs w:val="24"/>
        </w:rPr>
      </w:pPr>
      <w:r>
        <w:rPr>
          <w:rFonts w:hint="eastAsia" w:hAnsi="宋体"/>
          <w:b/>
          <w:szCs w:val="24"/>
        </w:rPr>
        <w:t>3.投标费用</w:t>
      </w:r>
    </w:p>
    <w:p w14:paraId="67B7D665">
      <w:pPr>
        <w:spacing w:line="360" w:lineRule="auto"/>
        <w:ind w:firstLine="550"/>
        <w:rPr>
          <w:rFonts w:hAnsi="宋体"/>
          <w:szCs w:val="24"/>
        </w:rPr>
      </w:pPr>
      <w:r>
        <w:rPr>
          <w:rFonts w:hint="eastAsia" w:hAnsi="宋体"/>
          <w:szCs w:val="24"/>
        </w:rPr>
        <w:t>3.1无论投标结果如何，投标人应自行承担其编制与递交响应文件所涉及的一切费用。</w:t>
      </w:r>
    </w:p>
    <w:p w14:paraId="4B6E01C3">
      <w:pPr>
        <w:spacing w:line="360" w:lineRule="auto"/>
        <w:ind w:firstLine="550"/>
        <w:rPr>
          <w:rFonts w:hAnsi="宋体"/>
          <w:b/>
          <w:bCs/>
          <w:szCs w:val="24"/>
        </w:rPr>
      </w:pPr>
      <w:r>
        <w:rPr>
          <w:rFonts w:hint="eastAsia" w:hAnsi="宋体"/>
          <w:b/>
          <w:bCs/>
          <w:szCs w:val="24"/>
        </w:rPr>
        <w:t>4.合格的投标人</w:t>
      </w:r>
    </w:p>
    <w:p w14:paraId="63C3CF4F">
      <w:pPr>
        <w:spacing w:line="360" w:lineRule="auto"/>
        <w:ind w:firstLine="457" w:firstLineChars="218"/>
        <w:rPr>
          <w:rFonts w:hAnsi="宋体"/>
          <w:szCs w:val="24"/>
        </w:rPr>
      </w:pPr>
      <w:r>
        <w:rPr>
          <w:rFonts w:hint="eastAsia" w:hAnsi="宋体"/>
          <w:szCs w:val="24"/>
        </w:rPr>
        <w:t>4.1合格的投标人应符合磋商文件载明的投标资格。</w:t>
      </w:r>
    </w:p>
    <w:p w14:paraId="70AB9917">
      <w:pPr>
        <w:spacing w:line="360" w:lineRule="auto"/>
        <w:ind w:firstLine="457" w:firstLineChars="218"/>
        <w:rPr>
          <w:rFonts w:hAnsi="宋体"/>
          <w:szCs w:val="24"/>
        </w:rPr>
      </w:pPr>
      <w:r>
        <w:rPr>
          <w:rFonts w:hint="eastAsia" w:hAnsi="宋体"/>
          <w:szCs w:val="24"/>
        </w:rPr>
        <w:t>4.1.1除非磋商文件认可，否则母、子公司之间的业绩、资质不得互用。</w:t>
      </w:r>
    </w:p>
    <w:p w14:paraId="2C7CBA79">
      <w:pPr>
        <w:spacing w:line="360" w:lineRule="auto"/>
        <w:ind w:firstLine="457" w:firstLineChars="218"/>
        <w:rPr>
          <w:rFonts w:hAnsi="宋体"/>
          <w:szCs w:val="24"/>
        </w:rPr>
      </w:pPr>
      <w:r>
        <w:rPr>
          <w:rFonts w:hint="eastAsia" w:hAnsi="宋体"/>
          <w:szCs w:val="24"/>
        </w:rPr>
        <w:t>4.2与招标人存在利害关系可能影响招标公正性的法人、其他组织或个人，不得参加投标。</w:t>
      </w:r>
    </w:p>
    <w:p w14:paraId="3251DAD8">
      <w:pPr>
        <w:spacing w:line="360" w:lineRule="auto"/>
        <w:ind w:firstLine="457" w:firstLineChars="218"/>
        <w:rPr>
          <w:rFonts w:hAnsi="宋体"/>
          <w:szCs w:val="24"/>
        </w:rPr>
      </w:pPr>
      <w:r>
        <w:rPr>
          <w:rFonts w:hint="eastAsia" w:hAnsi="宋体"/>
          <w:szCs w:val="24"/>
        </w:rPr>
        <w:t>单位负责人为同一人或者存在控股、管理关系的不同单位，不得参加同一标段投标或者未划分标段的同一招标项目投标。</w:t>
      </w:r>
    </w:p>
    <w:p w14:paraId="2E5141DA">
      <w:pPr>
        <w:spacing w:line="360" w:lineRule="auto"/>
        <w:ind w:firstLine="457" w:firstLineChars="218"/>
        <w:rPr>
          <w:rFonts w:hAnsi="宋体"/>
          <w:szCs w:val="24"/>
        </w:rPr>
      </w:pPr>
      <w:r>
        <w:rPr>
          <w:rFonts w:hint="eastAsia" w:hAnsi="宋体"/>
          <w:szCs w:val="24"/>
        </w:rPr>
        <w:t>违反前两款规定的，相关投标均无效。</w:t>
      </w:r>
    </w:p>
    <w:p w14:paraId="693B8204">
      <w:pPr>
        <w:spacing w:line="360" w:lineRule="auto"/>
        <w:ind w:firstLine="550"/>
        <w:rPr>
          <w:rFonts w:hAnsi="宋体"/>
          <w:b/>
          <w:szCs w:val="24"/>
        </w:rPr>
      </w:pPr>
      <w:r>
        <w:rPr>
          <w:rFonts w:hint="eastAsia" w:hAnsi="宋体"/>
          <w:b/>
          <w:szCs w:val="24"/>
        </w:rPr>
        <w:t>5.踏勘现场</w:t>
      </w:r>
    </w:p>
    <w:p w14:paraId="637528E1">
      <w:pPr>
        <w:spacing w:line="360" w:lineRule="auto"/>
        <w:ind w:firstLine="550"/>
        <w:rPr>
          <w:rFonts w:hAnsi="宋体"/>
          <w:szCs w:val="24"/>
        </w:rPr>
      </w:pPr>
      <w:r>
        <w:rPr>
          <w:rFonts w:hint="eastAsia" w:hAnsi="宋体"/>
          <w:szCs w:val="24"/>
        </w:rPr>
        <w:t>5.1投标人应自行对服务现场和周围环境进行踏勘，以获取编制响应文件和签署合同所需的资料。踏勘现场的方式、地址及联系方式见投标人须知前附表（如有）。</w:t>
      </w:r>
    </w:p>
    <w:p w14:paraId="26C7336E">
      <w:pPr>
        <w:spacing w:line="360" w:lineRule="auto"/>
        <w:ind w:firstLine="550"/>
        <w:rPr>
          <w:rFonts w:hAnsi="宋体"/>
          <w:szCs w:val="24"/>
        </w:rPr>
      </w:pPr>
      <w:r>
        <w:rPr>
          <w:rFonts w:hint="eastAsia" w:hAnsi="宋体"/>
          <w:szCs w:val="24"/>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006318D6">
      <w:pPr>
        <w:spacing w:line="360" w:lineRule="auto"/>
        <w:ind w:firstLine="550"/>
        <w:rPr>
          <w:rFonts w:hAnsi="宋体"/>
          <w:szCs w:val="24"/>
        </w:rPr>
      </w:pPr>
      <w:r>
        <w:rPr>
          <w:rFonts w:hint="eastAsia" w:hAnsi="宋体"/>
          <w:szCs w:val="24"/>
        </w:rPr>
        <w:t>5.3除非有特殊要求，磋商文件不单独提供服务地点的自然环境、气候条件、公用设施等情况，投标人被视为熟悉上述与履行合同有关的一切情况。</w:t>
      </w:r>
    </w:p>
    <w:p w14:paraId="2934FFDF">
      <w:pPr>
        <w:spacing w:line="360" w:lineRule="auto"/>
        <w:ind w:firstLine="550"/>
        <w:rPr>
          <w:rFonts w:hAnsi="宋体"/>
          <w:bCs/>
          <w:szCs w:val="24"/>
        </w:rPr>
      </w:pPr>
      <w:r>
        <w:rPr>
          <w:rFonts w:hint="eastAsia" w:hAnsi="宋体"/>
          <w:b/>
          <w:szCs w:val="24"/>
        </w:rPr>
        <w:t>6.知识产权</w:t>
      </w:r>
    </w:p>
    <w:p w14:paraId="59BBF5CC">
      <w:pPr>
        <w:spacing w:line="360" w:lineRule="auto"/>
        <w:ind w:firstLine="549"/>
        <w:rPr>
          <w:rFonts w:hAnsi="宋体"/>
          <w:bCs/>
          <w:szCs w:val="24"/>
        </w:rPr>
      </w:pPr>
      <w:r>
        <w:rPr>
          <w:rFonts w:hint="eastAsia" w:hAnsi="宋体"/>
          <w:szCs w:val="24"/>
        </w:rPr>
        <w:t>6.1</w:t>
      </w:r>
      <w:r>
        <w:rPr>
          <w:rFonts w:hint="eastAsia" w:hAnsi="宋体"/>
          <w:bCs/>
          <w:szCs w:val="24"/>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hAnsi="宋体"/>
          <w:szCs w:val="24"/>
        </w:rPr>
        <w:t>如因此导致招标人损失的，投标人须承担全部赔偿责任。</w:t>
      </w:r>
    </w:p>
    <w:p w14:paraId="3AC7A170">
      <w:pPr>
        <w:spacing w:line="360" w:lineRule="auto"/>
        <w:ind w:firstLine="549"/>
        <w:rPr>
          <w:rFonts w:hAnsi="宋体"/>
          <w:b/>
          <w:szCs w:val="24"/>
        </w:rPr>
      </w:pPr>
      <w:r>
        <w:rPr>
          <w:rFonts w:hint="eastAsia" w:hAnsi="宋体"/>
          <w:b/>
          <w:szCs w:val="24"/>
        </w:rPr>
        <w:t>7.纪律与保密</w:t>
      </w:r>
    </w:p>
    <w:p w14:paraId="6C68EB0B">
      <w:pPr>
        <w:spacing w:line="360" w:lineRule="auto"/>
        <w:ind w:firstLine="549"/>
        <w:rPr>
          <w:rFonts w:hAnsi="宋体"/>
        </w:rPr>
      </w:pPr>
      <w:r>
        <w:rPr>
          <w:rFonts w:hint="eastAsia" w:hAnsi="宋体"/>
        </w:rPr>
        <w:t>7.1投标人的投标行为应遵守中国的有关法律、法规和规章。</w:t>
      </w:r>
    </w:p>
    <w:p w14:paraId="16EA0339">
      <w:pPr>
        <w:spacing w:line="360" w:lineRule="auto"/>
        <w:ind w:firstLine="549"/>
        <w:rPr>
          <w:rFonts w:hAnsi="宋体"/>
        </w:rPr>
      </w:pPr>
      <w:r>
        <w:rPr>
          <w:rFonts w:hint="eastAsia" w:hAnsi="宋体"/>
        </w:rPr>
        <w:t>7.2</w:t>
      </w:r>
      <w:r>
        <w:rPr>
          <w:rFonts w:hAnsi="宋体"/>
        </w:rPr>
        <w:t xml:space="preserve">投标人不得相互串通投标报价，不得排挤其他投标人的公平竞争，损害招标人或者其他投标人的合法权益。 </w:t>
      </w:r>
    </w:p>
    <w:p w14:paraId="774C61A3">
      <w:pPr>
        <w:spacing w:line="360" w:lineRule="auto"/>
        <w:ind w:firstLine="541" w:firstLineChars="258"/>
        <w:rPr>
          <w:rFonts w:hAnsi="宋体"/>
        </w:rPr>
      </w:pPr>
      <w:r>
        <w:rPr>
          <w:rFonts w:hAnsi="宋体"/>
        </w:rPr>
        <w:t>投标人不得与招标人串通投标，损害国家利益、社会公共利益或者他人的合法权益。 禁止投标人以向招标人或者磋商小组成员行贿的手段谋取中标。</w:t>
      </w:r>
    </w:p>
    <w:p w14:paraId="6B8C1D75">
      <w:pPr>
        <w:spacing w:line="360" w:lineRule="auto"/>
        <w:ind w:firstLine="549"/>
        <w:rPr>
          <w:rFonts w:hAnsi="宋体"/>
        </w:rPr>
      </w:pPr>
      <w:r>
        <w:rPr>
          <w:rFonts w:hAnsi="宋体"/>
        </w:rPr>
        <w:t>投标人不得以低于成本的报价竞标，也不得以他人名义投标或者以其他方式弄虚作假，骗取中标。</w:t>
      </w:r>
    </w:p>
    <w:p w14:paraId="560FDEA0">
      <w:pPr>
        <w:spacing w:line="360" w:lineRule="auto"/>
        <w:ind w:firstLine="549"/>
        <w:rPr>
          <w:rFonts w:hAnsi="宋体"/>
          <w:szCs w:val="24"/>
        </w:rPr>
      </w:pPr>
      <w:r>
        <w:rPr>
          <w:rFonts w:hint="eastAsia" w:hAnsi="宋体"/>
          <w:szCs w:val="24"/>
        </w:rPr>
        <w:t>7.3在确定中标人之前，投标人不得与招标人就投标价格、投标方案等实质性内容进行谈判，也不得私下接触磋商小组成员。</w:t>
      </w:r>
    </w:p>
    <w:p w14:paraId="7D9167B5">
      <w:pPr>
        <w:spacing w:line="360" w:lineRule="auto"/>
        <w:ind w:firstLine="549"/>
        <w:rPr>
          <w:rFonts w:hAnsi="宋体"/>
          <w:szCs w:val="24"/>
        </w:rPr>
      </w:pPr>
      <w:r>
        <w:rPr>
          <w:rFonts w:hint="eastAsia" w:hAnsi="宋体"/>
          <w:szCs w:val="24"/>
        </w:rPr>
        <w:t>7.4在确定中标人之前，投标人试图在响应文件审查、澄清、比较和评价时对磋商小组、招标人施加任何影响都可能导致其投标无效。</w:t>
      </w:r>
    </w:p>
    <w:p w14:paraId="044131D7">
      <w:pPr>
        <w:spacing w:line="360" w:lineRule="auto"/>
        <w:ind w:firstLine="549"/>
        <w:rPr>
          <w:rFonts w:hAnsi="宋体"/>
          <w:b/>
          <w:bCs/>
          <w:szCs w:val="24"/>
        </w:rPr>
      </w:pPr>
      <w:r>
        <w:rPr>
          <w:rFonts w:hint="eastAsia" w:hAnsi="宋体"/>
          <w:szCs w:val="24"/>
        </w:rPr>
        <w:t>7.5由招标人向投标人提供的图纸、详细资料、样品、模型、模件和所有其它资料，被视为保密资料，仅被用于它所规定的用途。除非得到招标人的同意，不能向任何第三方透露。磋商结束后，应招标人要求，投标人应归还所有从招标人处获得的保密资料。</w:t>
      </w:r>
    </w:p>
    <w:p w14:paraId="1EA4C230">
      <w:pPr>
        <w:spacing w:line="360" w:lineRule="auto"/>
        <w:ind w:firstLine="549"/>
        <w:rPr>
          <w:rFonts w:hAnsi="宋体"/>
          <w:b/>
          <w:szCs w:val="24"/>
        </w:rPr>
      </w:pPr>
      <w:r>
        <w:rPr>
          <w:rFonts w:hint="eastAsia" w:hAnsi="宋体"/>
          <w:b/>
          <w:szCs w:val="24"/>
        </w:rPr>
        <w:t>8.联合体磋商</w:t>
      </w:r>
    </w:p>
    <w:p w14:paraId="65C4D9F1">
      <w:pPr>
        <w:spacing w:line="360" w:lineRule="auto"/>
        <w:ind w:firstLine="549"/>
        <w:rPr>
          <w:rFonts w:hAnsi="宋体"/>
          <w:szCs w:val="24"/>
        </w:rPr>
      </w:pPr>
      <w:r>
        <w:rPr>
          <w:rFonts w:hint="eastAsia" w:hAnsi="宋体"/>
          <w:szCs w:val="24"/>
        </w:rPr>
        <w:t>8.1除非本项目明确要求不接受联合体形式磋商外，</w:t>
      </w:r>
      <w:r>
        <w:rPr>
          <w:rFonts w:hAnsi="宋体"/>
          <w:szCs w:val="24"/>
        </w:rPr>
        <w:t>两个以上法人</w:t>
      </w:r>
      <w:r>
        <w:rPr>
          <w:rFonts w:hint="eastAsia" w:hAnsi="宋体"/>
          <w:szCs w:val="24"/>
        </w:rPr>
        <w:t>（磋商文件如有约定，从其约定）</w:t>
      </w:r>
      <w:r>
        <w:rPr>
          <w:rFonts w:hAnsi="宋体"/>
          <w:szCs w:val="24"/>
        </w:rPr>
        <w:t>或者其他组织可以组成一个联合体，以一个投标人的身份共同</w:t>
      </w:r>
      <w:r>
        <w:rPr>
          <w:rFonts w:hint="eastAsia" w:hAnsi="宋体"/>
        </w:rPr>
        <w:t>磋商</w:t>
      </w:r>
      <w:r>
        <w:rPr>
          <w:rFonts w:hAnsi="宋体"/>
          <w:szCs w:val="24"/>
        </w:rPr>
        <w:t>。</w:t>
      </w:r>
    </w:p>
    <w:p w14:paraId="233991FE">
      <w:pPr>
        <w:spacing w:line="360" w:lineRule="auto"/>
        <w:ind w:firstLine="549"/>
        <w:rPr>
          <w:rFonts w:hAnsi="宋体"/>
          <w:szCs w:val="24"/>
        </w:rPr>
      </w:pPr>
      <w:r>
        <w:rPr>
          <w:rFonts w:hint="eastAsia" w:hAnsi="宋体"/>
          <w:szCs w:val="24"/>
        </w:rPr>
        <w:t>8.2以联合体形式参加</w:t>
      </w:r>
      <w:r>
        <w:rPr>
          <w:rFonts w:hint="eastAsia" w:hAnsi="宋体"/>
        </w:rPr>
        <w:t>磋商</w:t>
      </w:r>
      <w:r>
        <w:rPr>
          <w:rFonts w:hint="eastAsia" w:hAnsi="宋体"/>
          <w:szCs w:val="24"/>
        </w:rPr>
        <w:t>的，</w:t>
      </w:r>
      <w:r>
        <w:rPr>
          <w:rFonts w:hAnsi="宋体"/>
          <w:szCs w:val="24"/>
        </w:rPr>
        <w:t>联合体各方均应当具备承担</w:t>
      </w:r>
      <w:r>
        <w:rPr>
          <w:rFonts w:hint="eastAsia" w:hAnsi="宋体"/>
        </w:rPr>
        <w:t>磋商</w:t>
      </w:r>
      <w:r>
        <w:rPr>
          <w:rFonts w:hAnsi="宋体"/>
          <w:szCs w:val="24"/>
        </w:rPr>
        <w:t>项目的相应能力；国家有关规定或者磋商文件对投标人资格条件有规定的，联合体各方均应当具备规定的相应资格条件。由同一专业的单位组成的联合体，按照资质等级较低的单位确定资质等级。</w:t>
      </w:r>
    </w:p>
    <w:p w14:paraId="31DD4603">
      <w:pPr>
        <w:spacing w:line="360" w:lineRule="auto"/>
        <w:ind w:firstLine="549"/>
        <w:rPr>
          <w:rFonts w:hAnsi="宋体"/>
          <w:szCs w:val="24"/>
        </w:rPr>
      </w:pPr>
      <w:r>
        <w:rPr>
          <w:rFonts w:hint="eastAsia" w:hAnsi="宋体"/>
          <w:szCs w:val="24"/>
        </w:rPr>
        <w:t>8.3</w:t>
      </w:r>
      <w:r>
        <w:rPr>
          <w:rFonts w:hAnsi="宋体"/>
          <w:szCs w:val="24"/>
        </w:rPr>
        <w:t>联合体各方应当签订</w:t>
      </w:r>
      <w:r>
        <w:rPr>
          <w:rFonts w:hint="eastAsia" w:hAnsi="宋体"/>
          <w:szCs w:val="24"/>
        </w:rPr>
        <w:t>联合体</w:t>
      </w:r>
      <w:r>
        <w:rPr>
          <w:rFonts w:hAnsi="宋体"/>
          <w:szCs w:val="24"/>
        </w:rPr>
        <w:t>协议，明确约定各方拟承担的工作和责任，并将</w:t>
      </w:r>
      <w:r>
        <w:rPr>
          <w:rFonts w:hint="eastAsia" w:hAnsi="宋体"/>
          <w:szCs w:val="24"/>
        </w:rPr>
        <w:t>联合体</w:t>
      </w:r>
      <w:r>
        <w:rPr>
          <w:rFonts w:hAnsi="宋体"/>
          <w:szCs w:val="24"/>
        </w:rPr>
        <w:t>协议连同响应文件一并提交。联合体中标的，联合体各方应当共同与招标人签订合同，就中标项目向招标人承担连带责任。联合体各方在同一招标项目</w:t>
      </w:r>
      <w:r>
        <w:rPr>
          <w:rFonts w:hint="eastAsia" w:hAnsi="宋体"/>
          <w:szCs w:val="24"/>
        </w:rPr>
        <w:t>（标段）</w:t>
      </w:r>
      <w:r>
        <w:rPr>
          <w:rFonts w:hAnsi="宋体"/>
          <w:szCs w:val="24"/>
        </w:rPr>
        <w:t>中以自己名义单独</w:t>
      </w:r>
      <w:r>
        <w:rPr>
          <w:rFonts w:hint="eastAsia" w:hAnsi="宋体"/>
        </w:rPr>
        <w:t>磋商</w:t>
      </w:r>
      <w:r>
        <w:rPr>
          <w:rFonts w:hAnsi="宋体"/>
          <w:szCs w:val="24"/>
        </w:rPr>
        <w:t>或者参加其他联合体磋商的，相关</w:t>
      </w:r>
      <w:r>
        <w:rPr>
          <w:rFonts w:hint="eastAsia" w:hAnsi="宋体"/>
        </w:rPr>
        <w:t>磋商</w:t>
      </w:r>
      <w:r>
        <w:rPr>
          <w:rFonts w:hAnsi="宋体"/>
          <w:szCs w:val="24"/>
        </w:rPr>
        <w:t>均无效。</w:t>
      </w:r>
    </w:p>
    <w:p w14:paraId="532F1003">
      <w:pPr>
        <w:spacing w:line="360" w:lineRule="auto"/>
        <w:ind w:firstLine="550"/>
        <w:rPr>
          <w:rFonts w:hAnsi="宋体"/>
          <w:szCs w:val="24"/>
        </w:rPr>
      </w:pPr>
      <w:r>
        <w:rPr>
          <w:rFonts w:hint="eastAsia" w:hAnsi="宋体"/>
          <w:szCs w:val="24"/>
        </w:rPr>
        <w:t>8.4</w:t>
      </w:r>
      <w:r>
        <w:rPr>
          <w:rFonts w:hint="eastAsia" w:hAnsi="宋体"/>
        </w:rPr>
        <w:t>联合体磋商的，磋商保证金由联合体牵头方递交，以一方名义递交保证金的，对联合体各方均具有约束力。</w:t>
      </w:r>
    </w:p>
    <w:p w14:paraId="412BB2C6">
      <w:pPr>
        <w:spacing w:line="360" w:lineRule="auto"/>
        <w:ind w:firstLine="550"/>
        <w:rPr>
          <w:rFonts w:hAnsi="宋体"/>
          <w:szCs w:val="24"/>
        </w:rPr>
      </w:pPr>
      <w:r>
        <w:rPr>
          <w:rFonts w:hint="eastAsia" w:hAnsi="宋体"/>
          <w:szCs w:val="24"/>
        </w:rPr>
        <w:t>8.5除磋商文件有明确约定的，联合体参加</w:t>
      </w:r>
      <w:r>
        <w:rPr>
          <w:rFonts w:hint="eastAsia" w:hAnsi="宋体"/>
        </w:rPr>
        <w:t>磋商</w:t>
      </w:r>
      <w:r>
        <w:rPr>
          <w:rFonts w:hint="eastAsia" w:hAnsi="宋体"/>
          <w:szCs w:val="24"/>
        </w:rPr>
        <w:t>的，可以由联合体中的任一方获取磋商文件。</w:t>
      </w:r>
    </w:p>
    <w:p w14:paraId="771DD56D">
      <w:pPr>
        <w:spacing w:line="360" w:lineRule="auto"/>
        <w:ind w:firstLine="525"/>
        <w:rPr>
          <w:rFonts w:hAnsi="宋体"/>
          <w:b/>
          <w:bCs/>
          <w:szCs w:val="24"/>
        </w:rPr>
      </w:pPr>
      <w:r>
        <w:rPr>
          <w:rFonts w:hint="eastAsia" w:hAnsi="宋体"/>
          <w:b/>
          <w:bCs/>
          <w:szCs w:val="24"/>
        </w:rPr>
        <w:t>9.</w:t>
      </w:r>
      <w:r>
        <w:rPr>
          <w:rFonts w:hint="eastAsia" w:hAnsi="宋体"/>
          <w:b/>
          <w:bCs/>
        </w:rPr>
        <w:t>投标专用章的效力</w:t>
      </w:r>
    </w:p>
    <w:p w14:paraId="4AFD2AD4">
      <w:pPr>
        <w:spacing w:line="360" w:lineRule="auto"/>
        <w:ind w:firstLine="525"/>
        <w:rPr>
          <w:rFonts w:hAnsi="宋体"/>
          <w:szCs w:val="24"/>
        </w:rPr>
      </w:pPr>
      <w:r>
        <w:rPr>
          <w:rFonts w:hint="eastAsia" w:hAnsi="宋体"/>
          <w:lang w:val="en-US" w:eastAsia="zh-CN"/>
        </w:rPr>
        <w:t>9</w:t>
      </w:r>
      <w:r>
        <w:rPr>
          <w:rFonts w:hint="eastAsia" w:hAnsi="宋体"/>
        </w:rPr>
        <w:t>.1磋商文件中明确要求加盖公章的，投标人必须加盖投标人公章。</w:t>
      </w:r>
      <w:r>
        <w:rPr>
          <w:rFonts w:hAnsi="宋体"/>
        </w:rPr>
        <w:t>在有授权文件(原件</w:t>
      </w:r>
      <w:r>
        <w:rPr>
          <w:rFonts w:hint="eastAsia" w:hAnsi="宋体"/>
        </w:rPr>
        <w:t>或原件的扫描件</w:t>
      </w:r>
      <w:r>
        <w:rPr>
          <w:rFonts w:hAnsi="宋体"/>
        </w:rPr>
        <w:t>)表明投标专用章法律效力等同于</w:t>
      </w:r>
      <w:r>
        <w:rPr>
          <w:rFonts w:hint="eastAsia" w:hAnsi="宋体"/>
        </w:rPr>
        <w:t>投标人</w:t>
      </w:r>
      <w:r>
        <w:rPr>
          <w:rFonts w:hAnsi="宋体"/>
        </w:rPr>
        <w:t>公章的情况下，</w:t>
      </w:r>
      <w:r>
        <w:rPr>
          <w:rFonts w:hint="eastAsia" w:hAnsi="宋体"/>
        </w:rPr>
        <w:t>可以加</w:t>
      </w:r>
      <w:r>
        <w:rPr>
          <w:rFonts w:hAnsi="宋体"/>
        </w:rPr>
        <w:t>盖投标专用章</w:t>
      </w:r>
      <w:r>
        <w:rPr>
          <w:rFonts w:hint="eastAsia" w:hAnsi="宋体"/>
        </w:rPr>
        <w:t>，否则将导致投标无效。</w:t>
      </w:r>
    </w:p>
    <w:p w14:paraId="352C5D63">
      <w:pPr>
        <w:spacing w:line="360" w:lineRule="auto"/>
        <w:ind w:firstLine="550"/>
        <w:rPr>
          <w:rFonts w:hAnsi="宋体"/>
          <w:b/>
          <w:bCs/>
        </w:rPr>
      </w:pPr>
      <w:r>
        <w:rPr>
          <w:rFonts w:hint="eastAsia" w:hAnsi="宋体"/>
          <w:b/>
          <w:bCs/>
        </w:rPr>
        <w:t>10.合同标的转让</w:t>
      </w:r>
    </w:p>
    <w:p w14:paraId="55555654">
      <w:pPr>
        <w:spacing w:line="360" w:lineRule="auto"/>
        <w:ind w:firstLine="457" w:firstLineChars="218"/>
        <w:rPr>
          <w:rFonts w:hAnsi="宋体"/>
        </w:rPr>
      </w:pPr>
      <w:r>
        <w:rPr>
          <w:rFonts w:hint="eastAsia" w:hAnsi="宋体"/>
        </w:rPr>
        <w:t xml:space="preserve">10.1合同未约定或者未经招标人同意，中标人不得向他人转让中标项目，也不得将中标项目肢解后分别向他人转让。 </w:t>
      </w:r>
    </w:p>
    <w:p w14:paraId="2507EA22">
      <w:pPr>
        <w:spacing w:line="360" w:lineRule="auto"/>
        <w:ind w:firstLine="457" w:firstLineChars="218"/>
        <w:rPr>
          <w:rFonts w:hAnsi="宋体"/>
        </w:rPr>
      </w:pPr>
      <w:r>
        <w:rPr>
          <w:rFonts w:hint="eastAsia" w:hAnsi="宋体"/>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响应文件中载明。</w:t>
      </w:r>
    </w:p>
    <w:p w14:paraId="350D6B5D">
      <w:pPr>
        <w:spacing w:line="360" w:lineRule="auto"/>
        <w:ind w:firstLine="457" w:firstLineChars="218"/>
        <w:rPr>
          <w:rFonts w:hAnsi="宋体"/>
        </w:rPr>
      </w:pPr>
      <w:r>
        <w:rPr>
          <w:rFonts w:hint="eastAsia" w:hAnsi="宋体"/>
        </w:rPr>
        <w:t>10.3中标人应当就分包项目向招标人负责，接受分包的人就分包项目承担连带责任。</w:t>
      </w:r>
    </w:p>
    <w:p w14:paraId="451C186C">
      <w:pPr>
        <w:spacing w:line="360" w:lineRule="auto"/>
        <w:ind w:firstLine="550"/>
        <w:rPr>
          <w:rFonts w:hAnsi="宋体"/>
          <w:b/>
          <w:bCs/>
        </w:rPr>
      </w:pPr>
      <w:r>
        <w:rPr>
          <w:rFonts w:hint="eastAsia" w:hAnsi="宋体"/>
          <w:b/>
          <w:bCs/>
        </w:rPr>
        <w:t>11.磋商信息的发布</w:t>
      </w:r>
    </w:p>
    <w:p w14:paraId="426C6F3B">
      <w:pPr>
        <w:spacing w:line="360" w:lineRule="auto"/>
        <w:ind w:firstLine="550"/>
        <w:rPr>
          <w:rFonts w:hAnsi="宋体"/>
        </w:rPr>
      </w:pPr>
      <w:r>
        <w:rPr>
          <w:rFonts w:hint="eastAsia" w:hAnsi="宋体"/>
        </w:rPr>
        <w:t>11.1与本次磋商活动相关的信息，将在</w:t>
      </w:r>
      <w:r>
        <w:rPr>
          <w:rFonts w:hint="eastAsia" w:hAnsi="宋体"/>
          <w:szCs w:val="24"/>
        </w:rPr>
        <w:t>招标人官方网站</w:t>
      </w:r>
      <w:r>
        <w:rPr>
          <w:rFonts w:hint="eastAsia" w:hAnsi="宋体"/>
        </w:rPr>
        <w:t>发布。</w:t>
      </w:r>
    </w:p>
    <w:p w14:paraId="354D91EA">
      <w:pPr>
        <w:pStyle w:val="5"/>
        <w:spacing w:line="500" w:lineRule="exact"/>
        <w:jc w:val="both"/>
        <w:rPr>
          <w:rFonts w:hAnsi="宋体"/>
          <w:sz w:val="28"/>
        </w:rPr>
      </w:pPr>
      <w:bookmarkStart w:id="18" w:name="_Toc50128750"/>
      <w:r>
        <w:rPr>
          <w:rFonts w:hint="eastAsia" w:hAnsi="宋体"/>
          <w:sz w:val="28"/>
        </w:rPr>
        <w:t>二．磋商文件</w:t>
      </w:r>
      <w:bookmarkEnd w:id="18"/>
      <w:bookmarkStart w:id="19" w:name="_Hlt509649930"/>
      <w:bookmarkEnd w:id="19"/>
      <w:bookmarkStart w:id="20" w:name="_Hlt509650361"/>
      <w:bookmarkEnd w:id="20"/>
      <w:bookmarkStart w:id="21" w:name="_Hlt509649791"/>
      <w:bookmarkEnd w:id="21"/>
    </w:p>
    <w:p w14:paraId="34523724">
      <w:pPr>
        <w:spacing w:line="360" w:lineRule="auto"/>
        <w:ind w:firstLine="549"/>
        <w:rPr>
          <w:rFonts w:hAnsi="宋体"/>
          <w:b/>
          <w:szCs w:val="24"/>
        </w:rPr>
      </w:pPr>
      <w:bookmarkStart w:id="22" w:name="_Hlt509650734"/>
      <w:bookmarkEnd w:id="22"/>
      <w:r>
        <w:rPr>
          <w:rFonts w:hint="eastAsia" w:hAnsi="宋体"/>
          <w:b/>
          <w:szCs w:val="24"/>
        </w:rPr>
        <w:t>12.磋商文件构成</w:t>
      </w:r>
    </w:p>
    <w:p w14:paraId="3CC3D1C8">
      <w:pPr>
        <w:spacing w:line="360" w:lineRule="auto"/>
        <w:ind w:firstLine="549"/>
        <w:rPr>
          <w:rFonts w:hAnsi="宋体"/>
          <w:szCs w:val="24"/>
        </w:rPr>
      </w:pPr>
      <w:r>
        <w:rPr>
          <w:rFonts w:hint="eastAsia" w:hAnsi="宋体"/>
          <w:szCs w:val="24"/>
        </w:rPr>
        <w:t>12</w:t>
      </w:r>
      <w:r>
        <w:rPr>
          <w:rFonts w:hAnsi="宋体"/>
          <w:szCs w:val="24"/>
        </w:rPr>
        <w:t>.1</w:t>
      </w:r>
      <w:r>
        <w:rPr>
          <w:rFonts w:hint="eastAsia" w:hAnsi="宋体"/>
          <w:szCs w:val="24"/>
        </w:rPr>
        <w:t>磋商文件包括以下部分：</w:t>
      </w:r>
    </w:p>
    <w:p w14:paraId="2E0B23A5">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.1第一章：磋商邀请（磋商公告）；</w:t>
      </w:r>
    </w:p>
    <w:p w14:paraId="7FE446BA">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.2第二章：</w:t>
      </w:r>
      <w:bookmarkStart w:id="23" w:name="_Hlt509650925"/>
      <w:bookmarkEnd w:id="23"/>
      <w:r>
        <w:rPr>
          <w:rFonts w:hint="eastAsia" w:hAnsi="宋体"/>
          <w:szCs w:val="24"/>
        </w:rPr>
        <w:t>投标人须知；</w:t>
      </w:r>
    </w:p>
    <w:p w14:paraId="15FE8500">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.3第三章：招标需求；</w:t>
      </w:r>
    </w:p>
    <w:p w14:paraId="7D92EF87">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.4第四章：磋商与评审办法；</w:t>
      </w:r>
    </w:p>
    <w:p w14:paraId="5D3C9DC6">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.5第五章：合同；</w:t>
      </w:r>
    </w:p>
    <w:p w14:paraId="4A137A25">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.6第六章：技术标准和要求；</w:t>
      </w:r>
    </w:p>
    <w:p w14:paraId="2612DDD8">
      <w:pPr>
        <w:spacing w:line="360" w:lineRule="auto"/>
        <w:ind w:firstLine="457" w:firstLineChars="218"/>
        <w:rPr>
          <w:rFonts w:hAnsi="宋体"/>
          <w:szCs w:val="24"/>
        </w:rPr>
      </w:pPr>
      <w:r>
        <w:rPr>
          <w:rFonts w:hint="eastAsia" w:hAnsi="宋体"/>
          <w:szCs w:val="24"/>
        </w:rPr>
        <w:t>12</w:t>
      </w:r>
      <w:r>
        <w:rPr>
          <w:rFonts w:hAnsi="宋体"/>
          <w:szCs w:val="24"/>
        </w:rPr>
        <w:t>.1</w:t>
      </w:r>
      <w:r>
        <w:rPr>
          <w:rFonts w:hint="eastAsia" w:hAnsi="宋体"/>
          <w:szCs w:val="24"/>
        </w:rPr>
        <w:t>.7第七章：响应文件格式；</w:t>
      </w:r>
    </w:p>
    <w:p w14:paraId="3BF50E0A">
      <w:pPr>
        <w:spacing w:line="360" w:lineRule="auto"/>
        <w:ind w:firstLine="457" w:firstLineChars="218"/>
        <w:rPr>
          <w:rFonts w:hAnsi="宋体"/>
          <w:szCs w:val="24"/>
        </w:rPr>
      </w:pPr>
      <w:r>
        <w:rPr>
          <w:rFonts w:hint="eastAsia" w:hAnsi="宋体"/>
          <w:szCs w:val="24"/>
        </w:rPr>
        <w:t>12.1.9招标人发布的图纸、答疑、补遗、补充通知（如有）等。</w:t>
      </w:r>
    </w:p>
    <w:p w14:paraId="34A21E13">
      <w:pPr>
        <w:spacing w:line="360" w:lineRule="auto"/>
        <w:ind w:firstLine="549"/>
        <w:rPr>
          <w:rFonts w:hAnsi="宋体"/>
          <w:szCs w:val="24"/>
        </w:rPr>
      </w:pPr>
      <w:r>
        <w:rPr>
          <w:rFonts w:hint="eastAsia" w:hAnsi="宋体"/>
          <w:szCs w:val="24"/>
        </w:rPr>
        <w:t>12</w:t>
      </w:r>
      <w:r>
        <w:rPr>
          <w:rFonts w:hAnsi="宋体"/>
          <w:szCs w:val="24"/>
        </w:rPr>
        <w:t>.</w:t>
      </w:r>
      <w:r>
        <w:rPr>
          <w:rFonts w:hint="eastAsia" w:hAnsi="宋体"/>
          <w:szCs w:val="24"/>
        </w:rPr>
        <w:t>2</w:t>
      </w:r>
      <w:r>
        <w:rPr>
          <w:rFonts w:hAnsi="宋体"/>
          <w:szCs w:val="24"/>
        </w:rPr>
        <w:t xml:space="preserve"> </w:t>
      </w:r>
      <w:r>
        <w:rPr>
          <w:rFonts w:hint="eastAsia" w:hAnsi="宋体"/>
          <w:szCs w:val="24"/>
        </w:rPr>
        <w:t>投标人应认真阅读磋商文件中所有的事项、格式、条件、条款和规范等要求。</w:t>
      </w:r>
    </w:p>
    <w:p w14:paraId="5F088B80">
      <w:pPr>
        <w:spacing w:line="360" w:lineRule="auto"/>
        <w:ind w:firstLine="550"/>
        <w:rPr>
          <w:rFonts w:hAnsi="宋体"/>
          <w:szCs w:val="24"/>
        </w:rPr>
      </w:pPr>
      <w:r>
        <w:rPr>
          <w:rFonts w:hint="eastAsia" w:hAnsi="宋体"/>
          <w:szCs w:val="24"/>
        </w:rPr>
        <w:t>12.3投标人应当按照磋商文件的要求编制响应文件。响应文件应对磋商文件提出的要求和条件作出实质性响应。</w:t>
      </w:r>
    </w:p>
    <w:p w14:paraId="5FE7FD11">
      <w:pPr>
        <w:spacing w:line="360" w:lineRule="auto"/>
        <w:ind w:firstLine="550"/>
        <w:rPr>
          <w:rFonts w:hAnsi="宋体"/>
          <w:szCs w:val="24"/>
        </w:rPr>
      </w:pPr>
      <w:r>
        <w:rPr>
          <w:rFonts w:hint="eastAsia" w:hAnsi="宋体"/>
          <w:szCs w:val="24"/>
        </w:rPr>
        <w:t>12.4投标人获取磋商文件后，应仔细检查磋商文件的所有内容，如有残缺等问题应在获得磋商文件</w:t>
      </w:r>
      <w:r>
        <w:rPr>
          <w:rFonts w:hAnsi="宋体"/>
          <w:szCs w:val="24"/>
        </w:rPr>
        <w:t>3</w:t>
      </w:r>
      <w:r>
        <w:rPr>
          <w:rFonts w:hint="eastAsia" w:hAnsi="宋体"/>
          <w:szCs w:val="24"/>
        </w:rPr>
        <w:t>日内向招标人提出，否则，由此引起的损失由投标人自行承担。</w:t>
      </w:r>
    </w:p>
    <w:p w14:paraId="5045CC99">
      <w:pPr>
        <w:spacing w:line="360" w:lineRule="auto"/>
        <w:ind w:firstLine="549"/>
        <w:rPr>
          <w:rFonts w:hAnsi="宋体"/>
          <w:b/>
          <w:szCs w:val="24"/>
        </w:rPr>
      </w:pPr>
      <w:r>
        <w:rPr>
          <w:rFonts w:hint="eastAsia" w:hAnsi="宋体"/>
          <w:b/>
          <w:szCs w:val="24"/>
        </w:rPr>
        <w:t>13.答疑及磋商文件的澄清与修改</w:t>
      </w:r>
    </w:p>
    <w:p w14:paraId="4F12B767">
      <w:pPr>
        <w:spacing w:line="360" w:lineRule="auto"/>
        <w:ind w:firstLine="550"/>
        <w:rPr>
          <w:rFonts w:hAnsi="宋体"/>
          <w:szCs w:val="24"/>
        </w:rPr>
      </w:pPr>
      <w:r>
        <w:rPr>
          <w:rFonts w:hint="eastAsia" w:hAnsi="宋体"/>
          <w:szCs w:val="24"/>
        </w:rPr>
        <w:t>13</w:t>
      </w:r>
      <w:r>
        <w:rPr>
          <w:rFonts w:hAnsi="宋体"/>
          <w:szCs w:val="24"/>
        </w:rPr>
        <w:t>.</w:t>
      </w:r>
      <w:r>
        <w:rPr>
          <w:rFonts w:hint="eastAsia" w:hAnsi="宋体"/>
          <w:szCs w:val="24"/>
        </w:rPr>
        <w:t>1投标人如果对磋商文件、工程量清单、最高投标限价（招标控制价）及相关附件等磋商文件的其他任何内容有相关疑问，可以于投标人须知前附表列明的答疑接受时间前，通过纸质形式向招标人提出（疑问文件以文档纸质形式（并加盖公章）提供）。</w:t>
      </w:r>
    </w:p>
    <w:p w14:paraId="3440AF98">
      <w:pPr>
        <w:spacing w:line="360" w:lineRule="auto"/>
        <w:ind w:firstLine="550"/>
        <w:rPr>
          <w:rFonts w:hAnsi="宋体"/>
          <w:szCs w:val="24"/>
        </w:rPr>
      </w:pPr>
      <w:r>
        <w:rPr>
          <w:rFonts w:hint="eastAsia" w:hAnsi="宋体"/>
          <w:szCs w:val="24"/>
        </w:rPr>
        <w:t>13.2如磋商文件存在不一致时，优先顺序如下：（1）磋商公告；（2）投标人须知前附表；（3）招标需求；（4）磋商与评审办法；（5）其他。</w:t>
      </w:r>
    </w:p>
    <w:p w14:paraId="688C982F">
      <w:pPr>
        <w:spacing w:line="360" w:lineRule="auto"/>
        <w:ind w:firstLine="550"/>
        <w:rPr>
          <w:rFonts w:hAnsi="宋体"/>
          <w:szCs w:val="24"/>
        </w:rPr>
      </w:pPr>
      <w:r>
        <w:rPr>
          <w:rFonts w:hint="eastAsia" w:hAnsi="宋体"/>
          <w:szCs w:val="24"/>
        </w:rPr>
        <w:t>13.</w:t>
      </w:r>
      <w:r>
        <w:rPr>
          <w:rFonts w:hint="eastAsia" w:hAnsi="宋体"/>
          <w:szCs w:val="24"/>
          <w:lang w:val="en-US" w:eastAsia="zh-CN"/>
        </w:rPr>
        <w:t>3</w:t>
      </w:r>
      <w:r>
        <w:rPr>
          <w:rFonts w:hint="eastAsia" w:hAnsi="宋体"/>
          <w:szCs w:val="24"/>
        </w:rPr>
        <w:t>招标人对磋商文件进行的答疑、澄清、变更或补充，将在网站上及时发布，该公告内容为磋商文件的组成部分，对投标人具有同样约束力效力。当磋商文件、磋商文件的答疑、澄清、变更或补充等在同一内容的表述上不一致时，</w:t>
      </w:r>
      <w:r>
        <w:rPr>
          <w:rFonts w:hint="eastAsia" w:hAnsi="宋体"/>
        </w:rPr>
        <w:t>以最后发出的文件（公告）为准</w:t>
      </w:r>
      <w:r>
        <w:rPr>
          <w:rFonts w:hint="eastAsia" w:hAnsi="宋体"/>
          <w:szCs w:val="24"/>
        </w:rPr>
        <w:t>。投标人应主动上网查询。招标人不承担投标人未及时关注相关信息引发的相关责任。</w:t>
      </w:r>
    </w:p>
    <w:p w14:paraId="54A2A4BC">
      <w:pPr>
        <w:spacing w:line="360" w:lineRule="auto"/>
        <w:ind w:firstLine="550"/>
        <w:rPr>
          <w:rFonts w:hAnsi="宋体"/>
          <w:szCs w:val="24"/>
        </w:rPr>
      </w:pPr>
      <w:r>
        <w:rPr>
          <w:rFonts w:hint="eastAsia" w:hAnsi="宋体"/>
          <w:szCs w:val="24"/>
        </w:rPr>
        <w:t>13.</w:t>
      </w:r>
      <w:r>
        <w:rPr>
          <w:rFonts w:hint="eastAsia" w:hAnsi="宋体"/>
          <w:szCs w:val="24"/>
          <w:lang w:val="en-US" w:eastAsia="zh-CN"/>
        </w:rPr>
        <w:t>4</w:t>
      </w:r>
      <w:r>
        <w:rPr>
          <w:rFonts w:hint="eastAsia" w:hAnsi="宋体"/>
        </w:rPr>
        <w:t>在响应文件提交截止时间前，招标人可以视招标具体情况，延长响应文件提交截止时间和磋商时间，并及时在网站上发布变更（延期）公告。在上述情况下，招标人和投标人在响应文件提交截止期方面的全部权力、责任和义务，将适用于延长后新的响应文件提交截止期。</w:t>
      </w:r>
    </w:p>
    <w:p w14:paraId="796DBFD3">
      <w:pPr>
        <w:pStyle w:val="5"/>
        <w:spacing w:line="500" w:lineRule="exact"/>
        <w:jc w:val="both"/>
        <w:rPr>
          <w:rFonts w:hAnsi="宋体"/>
          <w:sz w:val="28"/>
        </w:rPr>
      </w:pPr>
      <w:bookmarkStart w:id="24" w:name="_Hlt509650697"/>
      <w:bookmarkEnd w:id="24"/>
      <w:bookmarkStart w:id="25" w:name="_Hlt510342861"/>
      <w:bookmarkEnd w:id="25"/>
      <w:bookmarkStart w:id="26" w:name="_Hlt509649724"/>
      <w:bookmarkEnd w:id="26"/>
      <w:bookmarkStart w:id="27" w:name="_Toc50128751"/>
      <w:r>
        <w:rPr>
          <w:rFonts w:hint="eastAsia" w:hAnsi="宋体"/>
          <w:sz w:val="28"/>
        </w:rPr>
        <w:t>三．响应文件的编制</w:t>
      </w:r>
      <w:bookmarkEnd w:id="27"/>
    </w:p>
    <w:p w14:paraId="5E091258">
      <w:pPr>
        <w:spacing w:line="360" w:lineRule="auto"/>
        <w:ind w:firstLine="550"/>
        <w:rPr>
          <w:rFonts w:hAnsi="宋体"/>
          <w:b/>
          <w:szCs w:val="24"/>
        </w:rPr>
      </w:pPr>
      <w:r>
        <w:rPr>
          <w:rFonts w:hint="eastAsia" w:hAnsi="宋体"/>
          <w:b/>
          <w:szCs w:val="24"/>
        </w:rPr>
        <w:t>14.响应文件构成与要求</w:t>
      </w:r>
    </w:p>
    <w:p w14:paraId="55651D01">
      <w:pPr>
        <w:spacing w:line="360" w:lineRule="auto"/>
        <w:ind w:firstLine="550"/>
        <w:rPr>
          <w:rFonts w:hAnsi="宋体"/>
          <w:szCs w:val="24"/>
        </w:rPr>
      </w:pPr>
      <w:bookmarkStart w:id="28" w:name="_Hlt509650345"/>
      <w:bookmarkEnd w:id="28"/>
      <w:r>
        <w:rPr>
          <w:rFonts w:hint="eastAsia" w:hAnsi="宋体"/>
          <w:szCs w:val="24"/>
        </w:rPr>
        <w:t>14.1响应文件是对磋商文件的实质性响应及承诺文件。</w:t>
      </w:r>
    </w:p>
    <w:p w14:paraId="59E3E053">
      <w:pPr>
        <w:spacing w:line="360" w:lineRule="auto"/>
        <w:ind w:firstLine="550"/>
        <w:jc w:val="left"/>
        <w:rPr>
          <w:rFonts w:hAnsi="宋体"/>
          <w:szCs w:val="24"/>
        </w:rPr>
      </w:pPr>
      <w:r>
        <w:rPr>
          <w:rFonts w:hint="eastAsia" w:hAnsi="宋体"/>
          <w:szCs w:val="24"/>
        </w:rPr>
        <w:t>14.2</w:t>
      </w:r>
      <w:r>
        <w:rPr>
          <w:rFonts w:hint="eastAsia" w:hAnsi="宋体"/>
          <w:bCs/>
          <w:szCs w:val="24"/>
        </w:rPr>
        <w:t>除非注明“投标人</w:t>
      </w:r>
      <w:r>
        <w:rPr>
          <w:rFonts w:hint="eastAsia" w:hAnsi="宋体"/>
          <w:szCs w:val="24"/>
        </w:rPr>
        <w:t>可自行制作格式”，响应文件应使用磋商文件提供的格式。</w:t>
      </w:r>
    </w:p>
    <w:p w14:paraId="63C99C3C">
      <w:pPr>
        <w:spacing w:line="360" w:lineRule="auto"/>
        <w:ind w:firstLine="550"/>
        <w:jc w:val="left"/>
        <w:rPr>
          <w:rFonts w:hAnsi="宋体"/>
          <w:szCs w:val="24"/>
        </w:rPr>
      </w:pPr>
      <w:r>
        <w:rPr>
          <w:rFonts w:hint="eastAsia" w:hAnsi="宋体"/>
          <w:szCs w:val="24"/>
        </w:rPr>
        <w:t>14.3除专用术语外，响应文件以及投标人与招标人就有关磋商的往来函电均应使用中文。投标人提交的支持性文件和印制的文件可以用另一种语言，但相应内容应翻译成中文，对不同文字文本响应文件的解释发生异议的，以中文文本为准。</w:t>
      </w:r>
    </w:p>
    <w:p w14:paraId="38763CE9">
      <w:pPr>
        <w:spacing w:line="360" w:lineRule="auto"/>
        <w:ind w:firstLine="550"/>
        <w:jc w:val="left"/>
        <w:rPr>
          <w:rFonts w:hAnsi="宋体"/>
          <w:szCs w:val="24"/>
        </w:rPr>
      </w:pPr>
      <w:r>
        <w:rPr>
          <w:rFonts w:hint="eastAsia" w:hAnsi="宋体"/>
          <w:szCs w:val="24"/>
        </w:rPr>
        <w:t>14.4除非磋商文件另有规定，响应文件应使用中华人民共和国法定计量单位。</w:t>
      </w:r>
    </w:p>
    <w:p w14:paraId="614DBE6C">
      <w:pPr>
        <w:spacing w:line="360" w:lineRule="auto"/>
        <w:ind w:firstLine="550"/>
        <w:jc w:val="left"/>
        <w:rPr>
          <w:rFonts w:hAnsi="宋体"/>
          <w:szCs w:val="24"/>
        </w:rPr>
      </w:pPr>
      <w:r>
        <w:rPr>
          <w:rFonts w:hint="eastAsia" w:hAnsi="宋体"/>
          <w:szCs w:val="24"/>
        </w:rPr>
        <w:t>14.5除非磋商文件另有规定，响应文件应使用人民币填报所有报价。允许以多种货币报价的，或涉及合同金额等计算的，均按照中国银行在磋商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6075B3D9">
      <w:pPr>
        <w:spacing w:line="360" w:lineRule="auto"/>
        <w:ind w:firstLine="550"/>
        <w:jc w:val="left"/>
        <w:rPr>
          <w:rFonts w:hAnsi="宋体"/>
          <w:szCs w:val="24"/>
        </w:rPr>
      </w:pPr>
      <w:r>
        <w:rPr>
          <w:rFonts w:hint="eastAsia" w:hAnsi="宋体"/>
          <w:szCs w:val="24"/>
        </w:rPr>
        <w:t>14.6投标人提供的资质证书（或资格证明、认证证书等）处于年检、换证、升级、变更等期间，除非法律法规或发证机构有书面材料明确表明投标人资质（或资格)有效，否则一律不予认可。</w:t>
      </w:r>
    </w:p>
    <w:p w14:paraId="47A7AC0F">
      <w:pPr>
        <w:spacing w:line="360" w:lineRule="auto"/>
        <w:ind w:firstLine="550"/>
        <w:jc w:val="left"/>
        <w:rPr>
          <w:rFonts w:hAnsi="宋体"/>
          <w:szCs w:val="24"/>
        </w:rPr>
      </w:pPr>
      <w:r>
        <w:rPr>
          <w:rFonts w:hint="eastAsia" w:hAnsi="宋体"/>
          <w:szCs w:val="24"/>
        </w:rPr>
        <w:t>14.7电报、电话、传真形式的投标概不接受。</w:t>
      </w:r>
    </w:p>
    <w:p w14:paraId="52D1E826">
      <w:pPr>
        <w:spacing w:line="360" w:lineRule="auto"/>
        <w:ind w:firstLine="550"/>
        <w:jc w:val="left"/>
        <w:rPr>
          <w:rFonts w:hAnsi="宋体"/>
          <w:b/>
          <w:szCs w:val="24"/>
        </w:rPr>
      </w:pPr>
      <w:r>
        <w:rPr>
          <w:rFonts w:hint="eastAsia" w:hAnsi="宋体"/>
          <w:b/>
          <w:szCs w:val="24"/>
        </w:rPr>
        <w:t>14.8除非磋商文件另有规定，招标人一律不予退还投标人的响应文件。</w:t>
      </w:r>
    </w:p>
    <w:p w14:paraId="708B8A6B">
      <w:pPr>
        <w:spacing w:line="360" w:lineRule="auto"/>
        <w:ind w:firstLine="457" w:firstLineChars="218"/>
        <w:rPr>
          <w:rFonts w:hAnsi="宋体"/>
          <w:szCs w:val="24"/>
        </w:rPr>
      </w:pPr>
      <w:r>
        <w:rPr>
          <w:rFonts w:hint="eastAsia" w:hAnsi="宋体"/>
          <w:szCs w:val="24"/>
        </w:rPr>
        <w:t>14.9 本磋商文件所要求的证书、认证、资质，均应当是有权机构颁发，且在有效期内的。</w:t>
      </w:r>
    </w:p>
    <w:p w14:paraId="33093719">
      <w:pPr>
        <w:spacing w:line="360" w:lineRule="auto"/>
        <w:ind w:firstLine="550"/>
        <w:rPr>
          <w:rFonts w:hAnsi="宋体"/>
          <w:b/>
          <w:szCs w:val="24"/>
        </w:rPr>
      </w:pPr>
      <w:r>
        <w:rPr>
          <w:rFonts w:hint="eastAsia" w:hAnsi="宋体"/>
          <w:b/>
          <w:szCs w:val="24"/>
        </w:rPr>
        <w:t>15.报价</w:t>
      </w:r>
    </w:p>
    <w:p w14:paraId="7176B644">
      <w:pPr>
        <w:spacing w:line="360" w:lineRule="auto"/>
        <w:ind w:firstLine="550"/>
        <w:rPr>
          <w:rFonts w:hAnsi="宋体"/>
          <w:szCs w:val="24"/>
        </w:rPr>
      </w:pPr>
      <w:r>
        <w:rPr>
          <w:rFonts w:hint="eastAsia" w:hAnsi="宋体"/>
          <w:szCs w:val="24"/>
        </w:rPr>
        <w:t>15.1投标人应以“标段</w:t>
      </w:r>
      <w:r>
        <w:rPr>
          <w:rFonts w:hAnsi="宋体"/>
          <w:szCs w:val="24"/>
        </w:rPr>
        <w:t>”</w:t>
      </w:r>
      <w:r>
        <w:rPr>
          <w:rFonts w:hint="eastAsia" w:hAnsi="宋体"/>
          <w:szCs w:val="24"/>
        </w:rPr>
        <w:t>为报价的基本单位。若整个需求分为若干标段，则投标人可选择其中的部分或所有标段报价。标段内所有项目均应报价（免费赠送的除外），否则将导致投标无效。</w:t>
      </w:r>
    </w:p>
    <w:p w14:paraId="11D25ACC">
      <w:pPr>
        <w:spacing w:line="360" w:lineRule="auto"/>
        <w:ind w:firstLine="550"/>
        <w:rPr>
          <w:rFonts w:hAnsi="宋体"/>
          <w:szCs w:val="24"/>
        </w:rPr>
      </w:pPr>
      <w:r>
        <w:rPr>
          <w:rFonts w:hint="eastAsia" w:hAnsi="宋体"/>
          <w:szCs w:val="24"/>
        </w:rPr>
        <w:t>15.2投标人的报价应包含所投工程/服务/货物、保险、税费、验收和交付后约定期限内免费服务等工作所发生的一切应有费用。投标报价为签订合同的依据。</w:t>
      </w:r>
    </w:p>
    <w:p w14:paraId="0D72BB90">
      <w:pPr>
        <w:spacing w:line="360" w:lineRule="auto"/>
        <w:ind w:firstLine="550"/>
        <w:rPr>
          <w:rFonts w:hAnsi="宋体"/>
          <w:szCs w:val="24"/>
        </w:rPr>
      </w:pPr>
      <w:r>
        <w:rPr>
          <w:rFonts w:hint="eastAsia" w:hAnsi="宋体"/>
          <w:szCs w:val="24"/>
        </w:rPr>
        <w:t>15.3报价应当低于</w:t>
      </w:r>
      <w:r>
        <w:rPr>
          <w:rFonts w:hAnsi="宋体"/>
          <w:szCs w:val="24"/>
        </w:rPr>
        <w:t>同类货物和服务的市场平均价格。</w:t>
      </w:r>
      <w:r>
        <w:rPr>
          <w:rFonts w:hint="eastAsia" w:hAnsi="宋体"/>
          <w:szCs w:val="24"/>
        </w:rPr>
        <w:t>除非磋商文件另有规定，投标报价均不得高于磋商文件（公告）列明的最高投标限价（招标控制价）、项目概算。</w:t>
      </w:r>
    </w:p>
    <w:p w14:paraId="795CC941">
      <w:pPr>
        <w:spacing w:line="360" w:lineRule="auto"/>
        <w:ind w:firstLine="550"/>
        <w:rPr>
          <w:rFonts w:hAnsi="宋体"/>
          <w:szCs w:val="24"/>
        </w:rPr>
      </w:pPr>
      <w:r>
        <w:rPr>
          <w:rFonts w:hint="eastAsia" w:hAnsi="宋体"/>
          <w:szCs w:val="24"/>
        </w:rPr>
        <w:t>15.4除非磋商文件另有规定，每一标段只允许有一个最终报价，任何有选择的报价或替代方案将导致投标无效。</w:t>
      </w:r>
    </w:p>
    <w:p w14:paraId="16A40447">
      <w:pPr>
        <w:spacing w:line="360" w:lineRule="auto"/>
        <w:ind w:firstLine="550"/>
        <w:rPr>
          <w:rFonts w:hAnsi="宋体"/>
          <w:szCs w:val="24"/>
        </w:rPr>
      </w:pPr>
      <w:r>
        <w:rPr>
          <w:rFonts w:hint="eastAsia" w:hAnsi="宋体"/>
          <w:szCs w:val="24"/>
        </w:rPr>
        <w:t>15.5 除政策性文件规定以外，投标人所报价格在合同实施期间不因市场变化因素而变动。</w:t>
      </w:r>
    </w:p>
    <w:p w14:paraId="1BA28EA7">
      <w:pPr>
        <w:spacing w:line="360" w:lineRule="auto"/>
        <w:ind w:firstLine="549"/>
        <w:rPr>
          <w:rFonts w:hAnsi="宋体"/>
          <w:b/>
          <w:bCs/>
          <w:szCs w:val="24"/>
        </w:rPr>
      </w:pPr>
      <w:r>
        <w:rPr>
          <w:rFonts w:hint="eastAsia" w:hAnsi="宋体"/>
          <w:b/>
          <w:bCs/>
          <w:szCs w:val="24"/>
        </w:rPr>
        <w:t>16.投标内容填写及说明</w:t>
      </w:r>
    </w:p>
    <w:p w14:paraId="28BE214A">
      <w:pPr>
        <w:spacing w:line="360" w:lineRule="auto"/>
        <w:ind w:firstLine="549"/>
        <w:rPr>
          <w:rFonts w:hAnsi="宋体"/>
          <w:szCs w:val="24"/>
        </w:rPr>
      </w:pPr>
      <w:r>
        <w:rPr>
          <w:rFonts w:hint="eastAsia" w:hAnsi="宋体"/>
          <w:szCs w:val="24"/>
        </w:rPr>
        <w:t>16.1响应文件须对磋商文件载明的投标资格、服务、报价等全部要求和条件做出实质性和完整的响应，如果响应文件填报的内容资料不详，或没有提供磋商文件中所要求的全部资料、证明及数据，将可能导致投标无效。</w:t>
      </w:r>
    </w:p>
    <w:p w14:paraId="113E49DE">
      <w:pPr>
        <w:spacing w:line="360" w:lineRule="auto"/>
        <w:ind w:firstLine="549"/>
        <w:rPr>
          <w:rFonts w:hAnsi="宋体"/>
          <w:szCs w:val="24"/>
        </w:rPr>
      </w:pPr>
      <w:r>
        <w:rPr>
          <w:rFonts w:hint="eastAsia" w:hAnsi="宋体"/>
          <w:szCs w:val="24"/>
        </w:rPr>
        <w:t>16.2投标人应在响应文件中提交磋商文件要求的有关证明文件，作为其响应文件的一部分。</w:t>
      </w:r>
    </w:p>
    <w:p w14:paraId="2424DC61">
      <w:pPr>
        <w:spacing w:line="360" w:lineRule="auto"/>
        <w:ind w:firstLine="549"/>
        <w:rPr>
          <w:rFonts w:hAnsi="宋体"/>
          <w:szCs w:val="24"/>
        </w:rPr>
      </w:pPr>
      <w:r>
        <w:rPr>
          <w:rFonts w:hint="eastAsia" w:hAnsi="宋体"/>
          <w:szCs w:val="24"/>
        </w:rPr>
        <w:t>16</w:t>
      </w:r>
      <w:r>
        <w:rPr>
          <w:rFonts w:hAnsi="宋体"/>
          <w:szCs w:val="24"/>
        </w:rPr>
        <w:t>.</w:t>
      </w:r>
      <w:r>
        <w:rPr>
          <w:rFonts w:hint="eastAsia" w:hAnsi="宋体"/>
          <w:szCs w:val="24"/>
        </w:rPr>
        <w:t>3响应文件须对磋商文件载明的全部初审要求（如磋商资格、技术、资信、服务、报价等），做出实质性响应，如果响应文件填报的内容资料不详，或没有提供磋商文件中所要求的资料、证明及数据，将导致投标无效。</w:t>
      </w:r>
    </w:p>
    <w:p w14:paraId="5A247A48">
      <w:pPr>
        <w:spacing w:line="360" w:lineRule="auto"/>
        <w:ind w:firstLine="549"/>
        <w:rPr>
          <w:rFonts w:hAnsi="宋体"/>
          <w:szCs w:val="24"/>
        </w:rPr>
      </w:pPr>
      <w:r>
        <w:rPr>
          <w:rFonts w:hAnsi="宋体"/>
          <w:szCs w:val="24"/>
        </w:rPr>
        <w:t>1</w:t>
      </w:r>
      <w:r>
        <w:rPr>
          <w:rFonts w:hint="eastAsia" w:hAnsi="宋体"/>
          <w:szCs w:val="24"/>
        </w:rPr>
        <w:t>6</w:t>
      </w:r>
      <w:r>
        <w:rPr>
          <w:rFonts w:hAnsi="宋体"/>
          <w:szCs w:val="24"/>
        </w:rPr>
        <w:t>.</w:t>
      </w:r>
      <w:r>
        <w:rPr>
          <w:rFonts w:hint="eastAsia" w:hAnsi="宋体"/>
          <w:szCs w:val="24"/>
        </w:rPr>
        <w:t>4响应文件应字迹清楚、编排有序、内容齐全、不得涂改或增删。如有错漏处必须修改，应在修改处加盖投标人公章。</w:t>
      </w:r>
    </w:p>
    <w:p w14:paraId="4181AC92">
      <w:pPr>
        <w:spacing w:line="360" w:lineRule="auto"/>
        <w:ind w:firstLine="549"/>
        <w:rPr>
          <w:rFonts w:hAnsi="宋体"/>
          <w:szCs w:val="24"/>
        </w:rPr>
      </w:pPr>
      <w:r>
        <w:rPr>
          <w:rFonts w:hint="eastAsia" w:hAnsi="宋体"/>
          <w:szCs w:val="24"/>
        </w:rPr>
        <w:t>16.5投标人应根据其响应文件中</w:t>
      </w:r>
      <w:r>
        <w:rPr>
          <w:rFonts w:hint="eastAsia" w:hAnsi="宋体"/>
        </w:rPr>
        <w:t>报价表</w:t>
      </w:r>
      <w:r>
        <w:rPr>
          <w:rFonts w:hint="eastAsia" w:hAnsi="宋体"/>
          <w:szCs w:val="24"/>
        </w:rPr>
        <w:t>的内容填写报价信息。</w:t>
      </w:r>
    </w:p>
    <w:p w14:paraId="3FB990C3">
      <w:pPr>
        <w:spacing w:line="360" w:lineRule="auto"/>
        <w:ind w:firstLine="549"/>
        <w:rPr>
          <w:rFonts w:hAnsi="宋体"/>
          <w:b/>
          <w:szCs w:val="24"/>
        </w:rPr>
      </w:pPr>
      <w:r>
        <w:rPr>
          <w:rFonts w:hint="eastAsia" w:hAnsi="宋体"/>
          <w:b/>
          <w:szCs w:val="24"/>
        </w:rPr>
        <w:t>17.磋商保证金</w:t>
      </w:r>
    </w:p>
    <w:p w14:paraId="162A1363">
      <w:pPr>
        <w:spacing w:line="360" w:lineRule="auto"/>
        <w:ind w:firstLine="550"/>
        <w:rPr>
          <w:rFonts w:hAnsi="宋体"/>
          <w:szCs w:val="22"/>
        </w:rPr>
      </w:pPr>
      <w:r>
        <w:rPr>
          <w:rFonts w:hint="eastAsia" w:hAnsi="宋体"/>
          <w:szCs w:val="22"/>
        </w:rPr>
        <w:t>17.1投标人在递交响应文件的同时，应按投标人须知前附表规定的金额、担保形式和第七章“响应文件格式”规定的磋商保证金格式递交磋商保证金（如有），并作为其响应文件的组成部分。境内投标人以现金或者支票形式提交的磋商保证金，应当从其基本账户转出并在响应文件中附上基本账户开户证明。联合体投标的，其磋商保证金由牵头人递交，并应符合投标人须知前附表的规定。</w:t>
      </w:r>
    </w:p>
    <w:p w14:paraId="52E0F17C">
      <w:pPr>
        <w:spacing w:line="360" w:lineRule="auto"/>
        <w:ind w:firstLine="550"/>
        <w:rPr>
          <w:rFonts w:hAnsi="宋体"/>
          <w:szCs w:val="22"/>
        </w:rPr>
      </w:pPr>
      <w:r>
        <w:rPr>
          <w:rFonts w:hint="eastAsia" w:hAnsi="宋体"/>
          <w:szCs w:val="22"/>
        </w:rPr>
        <w:t>17.2无论采取何种形式的磋商保证金，磋商保证金有效期均应与投标有效期一致。招标人如果按本章18.4项的规定延长了投标有效期，则磋商保证金的有效期也相应延长。</w:t>
      </w:r>
    </w:p>
    <w:p w14:paraId="71E80500">
      <w:pPr>
        <w:spacing w:line="360" w:lineRule="auto"/>
        <w:ind w:firstLine="550"/>
        <w:rPr>
          <w:rFonts w:hAnsi="宋体"/>
          <w:szCs w:val="22"/>
        </w:rPr>
      </w:pPr>
      <w:r>
        <w:rPr>
          <w:rFonts w:hint="eastAsia" w:hAnsi="宋体"/>
          <w:szCs w:val="22"/>
        </w:rPr>
        <w:t>17.3 投标人不按本章17.1要求提交磋商保证金的，</w:t>
      </w:r>
      <w:r>
        <w:rPr>
          <w:rFonts w:hint="eastAsia" w:hAnsi="宋体"/>
        </w:rPr>
        <w:t>磋商小组</w:t>
      </w:r>
      <w:r>
        <w:rPr>
          <w:rFonts w:hint="eastAsia" w:hAnsi="宋体"/>
          <w:szCs w:val="22"/>
        </w:rPr>
        <w:t>将否决其投标。</w:t>
      </w:r>
    </w:p>
    <w:p w14:paraId="49BEEC59">
      <w:pPr>
        <w:spacing w:line="360" w:lineRule="auto"/>
        <w:ind w:firstLine="550"/>
        <w:rPr>
          <w:rFonts w:hAnsi="宋体"/>
          <w:szCs w:val="22"/>
        </w:rPr>
      </w:pPr>
      <w:r>
        <w:rPr>
          <w:rFonts w:hint="eastAsia" w:hAnsi="宋体"/>
          <w:szCs w:val="22"/>
        </w:rPr>
        <w:t>17.4招标人最迟将在中标通知书发出后5日内向中标候选人以外的其他投标人退还磋商保证金（无息），与中标人签订合同后5日内向中标人和其他中标候选人退还磋商保证金（无息）。</w:t>
      </w:r>
    </w:p>
    <w:p w14:paraId="72958B15">
      <w:pPr>
        <w:spacing w:line="360" w:lineRule="auto"/>
        <w:ind w:firstLine="550"/>
        <w:rPr>
          <w:rFonts w:hAnsi="宋体"/>
          <w:szCs w:val="22"/>
        </w:rPr>
      </w:pPr>
      <w:r>
        <w:rPr>
          <w:rFonts w:hint="eastAsia" w:hAnsi="宋体"/>
          <w:szCs w:val="22"/>
        </w:rPr>
        <w:t xml:space="preserve">17.5 有下列情形之一的，投标保证金将不予退还： </w:t>
      </w:r>
    </w:p>
    <w:p w14:paraId="24707D16">
      <w:pPr>
        <w:spacing w:line="360" w:lineRule="auto"/>
        <w:ind w:firstLine="550"/>
        <w:rPr>
          <w:rFonts w:hAnsi="宋体"/>
          <w:szCs w:val="22"/>
        </w:rPr>
      </w:pPr>
      <w:r>
        <w:rPr>
          <w:rFonts w:hint="eastAsia" w:hAnsi="宋体"/>
          <w:szCs w:val="22"/>
        </w:rPr>
        <w:t>（1）投标人在规定的投标有效期内撤销其投标文件；</w:t>
      </w:r>
    </w:p>
    <w:p w14:paraId="6EE3BC27">
      <w:pPr>
        <w:spacing w:line="360" w:lineRule="auto"/>
        <w:ind w:firstLine="550"/>
        <w:rPr>
          <w:rFonts w:hAnsi="宋体"/>
          <w:szCs w:val="22"/>
        </w:rPr>
      </w:pPr>
      <w:r>
        <w:rPr>
          <w:rFonts w:hint="eastAsia" w:hAnsi="宋体"/>
          <w:szCs w:val="22"/>
        </w:rPr>
        <w:t>（2）中标人在收到中标通知书后，无正当理由不与招标人订立合同，在签订合同时向招标人提出附加条件，或不按照磋商文件要求提交履约保证金；</w:t>
      </w:r>
    </w:p>
    <w:p w14:paraId="6E9984D3">
      <w:pPr>
        <w:spacing w:line="360" w:lineRule="auto"/>
        <w:ind w:firstLine="550"/>
        <w:rPr>
          <w:rFonts w:hAnsi="宋体"/>
          <w:szCs w:val="22"/>
        </w:rPr>
      </w:pPr>
      <w:r>
        <w:rPr>
          <w:rFonts w:hint="eastAsia" w:hAnsi="宋体"/>
          <w:szCs w:val="22"/>
        </w:rPr>
        <w:t>（3）发生投标人须知前附表规定的其他可以不予退还投标保证金的情形。</w:t>
      </w:r>
    </w:p>
    <w:p w14:paraId="6E7057B5">
      <w:pPr>
        <w:spacing w:line="360" w:lineRule="auto"/>
        <w:ind w:firstLine="550"/>
        <w:rPr>
          <w:rFonts w:hAnsi="宋体"/>
          <w:szCs w:val="24"/>
        </w:rPr>
      </w:pPr>
      <w:r>
        <w:rPr>
          <w:rFonts w:hint="eastAsia" w:hAnsi="宋体"/>
          <w:szCs w:val="22"/>
        </w:rPr>
        <w:t>17.6由于投标人行为导致招标人损失的，相应损失由投标人承担，从磋商保证金中扣除。磋商保证金扣除后仍不足以弥补损失的，投标人应当对超过部分予以赔偿。</w:t>
      </w:r>
    </w:p>
    <w:p w14:paraId="56FA9645">
      <w:pPr>
        <w:spacing w:line="360" w:lineRule="auto"/>
        <w:ind w:firstLine="550"/>
        <w:rPr>
          <w:rFonts w:hAnsi="宋体"/>
          <w:b/>
          <w:szCs w:val="24"/>
        </w:rPr>
      </w:pPr>
      <w:r>
        <w:rPr>
          <w:rFonts w:hint="eastAsia" w:hAnsi="宋体"/>
          <w:b/>
          <w:szCs w:val="24"/>
        </w:rPr>
        <w:t>18.投标有效期</w:t>
      </w:r>
    </w:p>
    <w:p w14:paraId="20C3AD25">
      <w:pPr>
        <w:spacing w:line="360" w:lineRule="auto"/>
        <w:ind w:firstLine="550"/>
        <w:rPr>
          <w:rFonts w:hAnsi="宋体"/>
          <w:szCs w:val="24"/>
        </w:rPr>
      </w:pPr>
      <w:r>
        <w:rPr>
          <w:rFonts w:hint="eastAsia" w:hAnsi="宋体"/>
          <w:szCs w:val="24"/>
        </w:rPr>
        <w:t>18.1为</w:t>
      </w:r>
      <w:r>
        <w:rPr>
          <w:rFonts w:hAnsi="宋体"/>
          <w:szCs w:val="24"/>
        </w:rPr>
        <w:t>保证</w:t>
      </w:r>
      <w:r>
        <w:rPr>
          <w:rFonts w:hint="eastAsia" w:hAnsi="宋体"/>
          <w:szCs w:val="24"/>
        </w:rPr>
        <w:t>招标人</w:t>
      </w:r>
      <w:r>
        <w:rPr>
          <w:rFonts w:hAnsi="宋体"/>
          <w:szCs w:val="24"/>
        </w:rPr>
        <w:t>有足够的时间完成评</w:t>
      </w:r>
      <w:r>
        <w:rPr>
          <w:rFonts w:hint="eastAsia" w:hAnsi="宋体"/>
          <w:szCs w:val="24"/>
        </w:rPr>
        <w:t>审</w:t>
      </w:r>
      <w:r>
        <w:rPr>
          <w:rFonts w:hAnsi="宋体"/>
          <w:szCs w:val="24"/>
        </w:rPr>
        <w:t>和与中标人签订合同</w:t>
      </w:r>
      <w:r>
        <w:rPr>
          <w:rFonts w:hint="eastAsia" w:hAnsi="宋体"/>
          <w:szCs w:val="24"/>
        </w:rPr>
        <w:t>，规定投标有效期。投标有效期期限见投标人须知前附表。</w:t>
      </w:r>
    </w:p>
    <w:p w14:paraId="34DBC512">
      <w:pPr>
        <w:spacing w:line="360" w:lineRule="auto"/>
        <w:ind w:firstLine="550"/>
        <w:rPr>
          <w:rFonts w:hAnsi="宋体"/>
          <w:szCs w:val="24"/>
        </w:rPr>
      </w:pPr>
      <w:r>
        <w:rPr>
          <w:rFonts w:hint="eastAsia" w:hAnsi="宋体"/>
          <w:szCs w:val="24"/>
        </w:rPr>
        <w:t>18.2在投标有效期内，投标人的投标保持有效，投标人不得要求撤销或修改其响应文件。</w:t>
      </w:r>
    </w:p>
    <w:p w14:paraId="28D8ABAA">
      <w:pPr>
        <w:spacing w:line="360" w:lineRule="auto"/>
        <w:ind w:firstLine="550"/>
        <w:rPr>
          <w:rFonts w:hAnsi="宋体"/>
          <w:szCs w:val="24"/>
        </w:rPr>
      </w:pPr>
      <w:r>
        <w:rPr>
          <w:rFonts w:hint="eastAsia" w:hAnsi="宋体"/>
          <w:szCs w:val="24"/>
        </w:rPr>
        <w:t>18.3</w:t>
      </w:r>
      <w:r>
        <w:rPr>
          <w:rFonts w:hAnsi="宋体"/>
          <w:szCs w:val="24"/>
        </w:rPr>
        <w:t>投标有效期从投标截止日起计算。</w:t>
      </w:r>
    </w:p>
    <w:p w14:paraId="1BEF0942">
      <w:pPr>
        <w:spacing w:line="360" w:lineRule="auto"/>
        <w:ind w:firstLine="550"/>
        <w:rPr>
          <w:rFonts w:hAnsi="宋体"/>
          <w:szCs w:val="24"/>
        </w:rPr>
      </w:pPr>
      <w:r>
        <w:rPr>
          <w:rFonts w:hint="eastAsia" w:hAnsi="宋体"/>
          <w:szCs w:val="24"/>
        </w:rPr>
        <w:t>18.4</w:t>
      </w:r>
      <w:r>
        <w:rPr>
          <w:szCs w:val="24"/>
        </w:rPr>
        <w:t>出现特殊情况需要延长投标有效期的，招标人以书面形式通知所有投标人延长投标有效期。投标人应予以书面答复，同意延长的，应相应延长其</w:t>
      </w:r>
      <w:r>
        <w:rPr>
          <w:rFonts w:hint="eastAsia"/>
          <w:szCs w:val="24"/>
        </w:rPr>
        <w:t>磋商</w:t>
      </w:r>
      <w:r>
        <w:rPr>
          <w:szCs w:val="24"/>
        </w:rPr>
        <w:t>保证金的有效期，但不得要求或被允许修改其响应文件；投标人拒绝延长的，其投标失效，但投标人有权收回其</w:t>
      </w:r>
      <w:r>
        <w:rPr>
          <w:rFonts w:hint="eastAsia"/>
          <w:szCs w:val="24"/>
        </w:rPr>
        <w:t>磋商</w:t>
      </w:r>
      <w:r>
        <w:rPr>
          <w:szCs w:val="24"/>
        </w:rPr>
        <w:t>保证金</w:t>
      </w:r>
      <w:r>
        <w:rPr>
          <w:rFonts w:hint="eastAsia"/>
          <w:szCs w:val="24"/>
        </w:rPr>
        <w:t>（无息）</w:t>
      </w:r>
      <w:r>
        <w:rPr>
          <w:szCs w:val="24"/>
        </w:rPr>
        <w:t>。</w:t>
      </w:r>
    </w:p>
    <w:p w14:paraId="712BD7FD">
      <w:pPr>
        <w:spacing w:line="360" w:lineRule="auto"/>
        <w:ind w:firstLine="550"/>
        <w:rPr>
          <w:rFonts w:hAnsi="宋体"/>
          <w:b/>
          <w:szCs w:val="24"/>
        </w:rPr>
      </w:pPr>
      <w:r>
        <w:rPr>
          <w:rFonts w:hint="eastAsia" w:hAnsi="宋体"/>
          <w:b/>
          <w:szCs w:val="24"/>
        </w:rPr>
        <w:t>19.响应文件份数和签署</w:t>
      </w:r>
    </w:p>
    <w:p w14:paraId="776CE6CC">
      <w:pPr>
        <w:pStyle w:val="30"/>
        <w:snapToGrid w:val="0"/>
        <w:spacing w:line="300" w:lineRule="auto"/>
        <w:ind w:firstLine="480" w:firstLineChars="200"/>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投标人应按照投标人须知前附表的要求准备响应文件。</w:t>
      </w:r>
    </w:p>
    <w:p w14:paraId="1156CA32">
      <w:pPr>
        <w:spacing w:line="360" w:lineRule="auto"/>
        <w:ind w:firstLine="420" w:firstLineChars="200"/>
        <w:rPr>
          <w:rFonts w:hAnsi="宋体"/>
          <w:szCs w:val="24"/>
        </w:rPr>
      </w:pPr>
      <w:r>
        <w:rPr>
          <w:rFonts w:hint="eastAsia" w:hAnsi="宋体"/>
          <w:szCs w:val="24"/>
        </w:rPr>
        <w:t>19</w:t>
      </w:r>
      <w:r>
        <w:rPr>
          <w:rFonts w:hAnsi="宋体"/>
          <w:szCs w:val="24"/>
        </w:rPr>
        <w:t>.</w:t>
      </w:r>
      <w:r>
        <w:rPr>
          <w:rFonts w:hint="eastAsia" w:hAnsi="宋体"/>
          <w:szCs w:val="24"/>
        </w:rPr>
        <w:t>2响应文件应按磋商文件要求加盖投标人公章。</w:t>
      </w:r>
    </w:p>
    <w:p w14:paraId="3BE5E3F4">
      <w:pPr>
        <w:pStyle w:val="5"/>
        <w:ind w:firstLine="628"/>
        <w:jc w:val="both"/>
        <w:rPr>
          <w:rFonts w:hAnsi="宋体"/>
          <w:sz w:val="28"/>
        </w:rPr>
      </w:pPr>
      <w:bookmarkStart w:id="29" w:name="_Hlt509649294"/>
      <w:bookmarkEnd w:id="29"/>
      <w:bookmarkStart w:id="30" w:name="_Hlt509650572"/>
      <w:bookmarkEnd w:id="30"/>
      <w:bookmarkStart w:id="31" w:name="_Toc522466826"/>
      <w:bookmarkStart w:id="32" w:name="_Toc50128752"/>
      <w:r>
        <w:rPr>
          <w:rFonts w:hint="eastAsia" w:hAnsi="宋体"/>
          <w:sz w:val="28"/>
        </w:rPr>
        <w:t>四．响应文件的递交</w:t>
      </w:r>
      <w:bookmarkEnd w:id="31"/>
      <w:bookmarkEnd w:id="32"/>
      <w:bookmarkStart w:id="33" w:name="_Hlt509649414"/>
      <w:bookmarkEnd w:id="33"/>
    </w:p>
    <w:p w14:paraId="0F8887FD">
      <w:pPr>
        <w:spacing w:line="360" w:lineRule="auto"/>
        <w:ind w:firstLine="550"/>
        <w:rPr>
          <w:rFonts w:hAnsi="宋体"/>
          <w:b/>
        </w:rPr>
      </w:pPr>
      <w:r>
        <w:rPr>
          <w:rFonts w:hint="eastAsia" w:hAnsi="宋体"/>
          <w:b/>
          <w:szCs w:val="24"/>
        </w:rPr>
        <w:t>20.</w:t>
      </w:r>
      <w:r>
        <w:rPr>
          <w:rFonts w:hint="eastAsia" w:hAnsi="宋体"/>
          <w:b/>
        </w:rPr>
        <w:t>响应文件的递交</w:t>
      </w:r>
    </w:p>
    <w:p w14:paraId="285E37F5">
      <w:pPr>
        <w:spacing w:line="360" w:lineRule="auto"/>
        <w:ind w:firstLine="550"/>
        <w:rPr>
          <w:rFonts w:hAnsi="宋体"/>
          <w:szCs w:val="24"/>
        </w:rPr>
      </w:pPr>
      <w:r>
        <w:rPr>
          <w:rFonts w:hint="eastAsia" w:hAnsi="宋体"/>
          <w:szCs w:val="24"/>
        </w:rPr>
        <w:t>20.1响应文件的递交见投标人须知前附表的相关规定。</w:t>
      </w:r>
    </w:p>
    <w:p w14:paraId="3324167D">
      <w:pPr>
        <w:spacing w:line="360" w:lineRule="auto"/>
        <w:ind w:firstLine="550"/>
        <w:rPr>
          <w:rFonts w:hAnsi="宋体"/>
          <w:szCs w:val="24"/>
        </w:rPr>
      </w:pPr>
      <w:r>
        <w:rPr>
          <w:rFonts w:hint="eastAsia" w:hAnsi="宋体"/>
          <w:szCs w:val="24"/>
        </w:rPr>
        <w:t>20.2投标人应当在磋商文件规定的响应文件提交截止时间前递交响应文件。</w:t>
      </w:r>
    </w:p>
    <w:p w14:paraId="3141BF7D">
      <w:pPr>
        <w:spacing w:line="360" w:lineRule="auto"/>
        <w:ind w:firstLine="550"/>
        <w:rPr>
          <w:rFonts w:hAnsi="宋体"/>
        </w:rPr>
      </w:pPr>
      <w:r>
        <w:rPr>
          <w:rFonts w:hint="eastAsia" w:hAnsi="宋体"/>
          <w:szCs w:val="24"/>
        </w:rPr>
        <w:t>20.3</w:t>
      </w:r>
      <w:r>
        <w:rPr>
          <w:rFonts w:hAnsi="宋体"/>
          <w:szCs w:val="24"/>
        </w:rPr>
        <w:t>逾期送达的响应文件，招标人</w:t>
      </w:r>
      <w:r>
        <w:rPr>
          <w:rFonts w:hint="eastAsia" w:hAnsi="宋体"/>
          <w:szCs w:val="24"/>
        </w:rPr>
        <w:t>将</w:t>
      </w:r>
      <w:r>
        <w:rPr>
          <w:rFonts w:hAnsi="宋体"/>
          <w:szCs w:val="24"/>
        </w:rPr>
        <w:t>拒收。</w:t>
      </w:r>
    </w:p>
    <w:p w14:paraId="398E1FAF">
      <w:pPr>
        <w:spacing w:line="360" w:lineRule="auto"/>
        <w:ind w:firstLine="550"/>
        <w:rPr>
          <w:rFonts w:hAnsi="宋体"/>
          <w:b/>
        </w:rPr>
      </w:pPr>
      <w:r>
        <w:rPr>
          <w:rFonts w:hint="eastAsia" w:hAnsi="宋体"/>
          <w:b/>
        </w:rPr>
        <w:t>21.响应文件的修改和撤回</w:t>
      </w:r>
    </w:p>
    <w:p w14:paraId="78214CA5">
      <w:pPr>
        <w:spacing w:line="360" w:lineRule="auto"/>
        <w:ind w:firstLine="550"/>
        <w:rPr>
          <w:rFonts w:hAnsi="宋体"/>
        </w:rPr>
      </w:pPr>
      <w:r>
        <w:rPr>
          <w:rFonts w:hint="eastAsia" w:hAnsi="宋体"/>
        </w:rPr>
        <w:t>21</w:t>
      </w:r>
      <w:r>
        <w:rPr>
          <w:rFonts w:hAnsi="宋体"/>
        </w:rPr>
        <w:t>.</w:t>
      </w:r>
      <w:r>
        <w:rPr>
          <w:rFonts w:hint="eastAsia" w:hAnsi="宋体"/>
        </w:rPr>
        <w:t>1 投标人在递交响应文件后，可以修改或撤回其投标，但这种修改和撤回，必须在规定的</w:t>
      </w:r>
      <w:r>
        <w:rPr>
          <w:rFonts w:hint="eastAsia" w:hAnsi="宋体"/>
          <w:szCs w:val="24"/>
        </w:rPr>
        <w:t>响应文件提交</w:t>
      </w:r>
      <w:r>
        <w:rPr>
          <w:rFonts w:hint="eastAsia" w:hAnsi="宋体"/>
        </w:rPr>
        <w:t>截止时间前，并以书面形式通知招标人。在</w:t>
      </w:r>
      <w:r>
        <w:rPr>
          <w:rFonts w:hint="eastAsia" w:hAnsi="宋体"/>
          <w:szCs w:val="24"/>
        </w:rPr>
        <w:t>响应文件提交</w:t>
      </w:r>
      <w:r>
        <w:rPr>
          <w:rFonts w:hint="eastAsia" w:hAnsi="宋体"/>
        </w:rPr>
        <w:t>截止时间后，投标人不得再要求修改或撤回其响应文件。</w:t>
      </w:r>
    </w:p>
    <w:p w14:paraId="0BBE9518">
      <w:pPr>
        <w:spacing w:line="360" w:lineRule="auto"/>
        <w:ind w:firstLine="550"/>
        <w:rPr>
          <w:rFonts w:hAnsi="宋体"/>
          <w:sz w:val="28"/>
        </w:rPr>
      </w:pPr>
      <w:r>
        <w:rPr>
          <w:rFonts w:hint="eastAsia" w:hAnsi="宋体"/>
        </w:rPr>
        <w:t>21</w:t>
      </w:r>
      <w:r>
        <w:rPr>
          <w:rFonts w:hAnsi="宋体"/>
        </w:rPr>
        <w:t>.2</w:t>
      </w:r>
      <w:r>
        <w:rPr>
          <w:rFonts w:hint="eastAsia" w:hAnsi="宋体"/>
        </w:rPr>
        <w:t xml:space="preserve"> 投标人的修改书或撤回通知书，应按规定进行编制、密封、标记和递交，且在内层信封上标明“修改”或“撤回”字样。</w:t>
      </w:r>
    </w:p>
    <w:p w14:paraId="159CEDD0">
      <w:pPr>
        <w:pStyle w:val="5"/>
        <w:ind w:firstLine="628"/>
        <w:jc w:val="both"/>
        <w:rPr>
          <w:rFonts w:hAnsi="宋体"/>
          <w:sz w:val="28"/>
        </w:rPr>
      </w:pPr>
      <w:bookmarkStart w:id="34" w:name="_Toc459990140"/>
      <w:bookmarkStart w:id="35" w:name="_Toc50128753"/>
      <w:bookmarkStart w:id="36" w:name="_Toc522466827"/>
      <w:r>
        <w:rPr>
          <w:rFonts w:hint="eastAsia" w:hAnsi="宋体"/>
          <w:sz w:val="28"/>
        </w:rPr>
        <w:t>五．</w:t>
      </w:r>
      <w:bookmarkEnd w:id="34"/>
      <w:r>
        <w:rPr>
          <w:rFonts w:hint="eastAsia" w:hAnsi="宋体"/>
          <w:sz w:val="28"/>
        </w:rPr>
        <w:t>响应文件解密及磋商</w:t>
      </w:r>
      <w:bookmarkEnd w:id="35"/>
      <w:bookmarkEnd w:id="36"/>
    </w:p>
    <w:p w14:paraId="64401C8C">
      <w:pPr>
        <w:spacing w:line="360" w:lineRule="auto"/>
        <w:ind w:firstLine="549"/>
        <w:rPr>
          <w:rFonts w:hAnsi="宋体"/>
          <w:b/>
        </w:rPr>
      </w:pPr>
      <w:r>
        <w:rPr>
          <w:rFonts w:hint="eastAsia" w:hAnsi="宋体"/>
          <w:b/>
          <w:lang w:val="en-US" w:eastAsia="zh-CN"/>
        </w:rPr>
        <w:t>22</w:t>
      </w:r>
      <w:r>
        <w:rPr>
          <w:rFonts w:hint="eastAsia" w:hAnsi="宋体"/>
          <w:b/>
        </w:rPr>
        <w:t>.响应文件的澄清、说明或补正</w:t>
      </w:r>
    </w:p>
    <w:p w14:paraId="76409FD8">
      <w:pPr>
        <w:spacing w:line="360" w:lineRule="auto"/>
        <w:ind w:firstLine="549"/>
        <w:rPr>
          <w:rFonts w:hAnsi="宋体"/>
          <w:bCs/>
        </w:rPr>
      </w:pPr>
      <w:r>
        <w:rPr>
          <w:rFonts w:hint="eastAsia" w:hAnsi="宋体"/>
          <w:bCs/>
          <w:lang w:val="en-US" w:eastAsia="zh-CN"/>
        </w:rPr>
        <w:t>22</w:t>
      </w:r>
      <w:r>
        <w:rPr>
          <w:rFonts w:hAnsi="宋体"/>
          <w:bCs/>
        </w:rPr>
        <w:t>.</w:t>
      </w:r>
      <w:r>
        <w:rPr>
          <w:rFonts w:hint="eastAsia" w:hAnsi="宋体"/>
          <w:bCs/>
        </w:rPr>
        <w:t>1为有助于投标的审查、评价和比较，磋商小组可对投标人的响应文件中含义不明确、对同类问题表述不一致或者有明显文字和计算错误的内容作出不利于投标的推断。</w:t>
      </w:r>
    </w:p>
    <w:p w14:paraId="58E6C5A5">
      <w:pPr>
        <w:spacing w:line="360" w:lineRule="auto"/>
        <w:ind w:firstLine="549"/>
        <w:rPr>
          <w:rFonts w:hAnsi="宋体"/>
        </w:rPr>
      </w:pPr>
      <w:r>
        <w:rPr>
          <w:rFonts w:hint="eastAsia" w:hAnsi="宋体"/>
          <w:bCs/>
          <w:lang w:val="en-US" w:eastAsia="zh-CN"/>
        </w:rPr>
        <w:t>22</w:t>
      </w:r>
      <w:r>
        <w:rPr>
          <w:rFonts w:hAnsi="宋体"/>
          <w:bCs/>
        </w:rPr>
        <w:t>.</w:t>
      </w:r>
      <w:r>
        <w:rPr>
          <w:rFonts w:hint="eastAsia" w:hAnsi="宋体"/>
        </w:rPr>
        <w:t>2响应文件中大写金额和小写金额不一致的，以大写金额为准。报价表内容与其他报价信息内容不一致的，以报价表为准。</w:t>
      </w:r>
    </w:p>
    <w:p w14:paraId="22D1AC7B">
      <w:pPr>
        <w:spacing w:line="360" w:lineRule="auto"/>
        <w:ind w:firstLine="549"/>
        <w:rPr>
          <w:rFonts w:hAnsi="宋体"/>
          <w:b/>
        </w:rPr>
      </w:pPr>
      <w:r>
        <w:rPr>
          <w:rFonts w:hint="eastAsia" w:hAnsi="宋体"/>
          <w:b/>
        </w:rPr>
        <w:t>2</w:t>
      </w:r>
      <w:r>
        <w:rPr>
          <w:rFonts w:hint="eastAsia" w:hAnsi="宋体"/>
          <w:b/>
          <w:lang w:val="en-US" w:eastAsia="zh-CN"/>
        </w:rPr>
        <w:t>3</w:t>
      </w:r>
      <w:r>
        <w:rPr>
          <w:rFonts w:hint="eastAsia" w:hAnsi="宋体"/>
          <w:b/>
        </w:rPr>
        <w:t>.评审</w:t>
      </w:r>
    </w:p>
    <w:p w14:paraId="644866A2">
      <w:pPr>
        <w:spacing w:line="360" w:lineRule="auto"/>
        <w:ind w:firstLine="457" w:firstLineChars="218"/>
        <w:rPr>
          <w:rFonts w:hAnsi="宋体"/>
          <w:bCs/>
        </w:rPr>
      </w:pPr>
      <w:r>
        <w:rPr>
          <w:rFonts w:hint="eastAsia" w:hAnsi="宋体"/>
        </w:rPr>
        <w:t>2</w:t>
      </w:r>
      <w:r>
        <w:rPr>
          <w:rFonts w:hint="eastAsia" w:hAnsi="宋体"/>
          <w:lang w:val="en-US" w:eastAsia="zh-CN"/>
        </w:rPr>
        <w:t>3</w:t>
      </w:r>
      <w:r>
        <w:rPr>
          <w:rFonts w:hint="eastAsia" w:hAnsi="宋体"/>
        </w:rPr>
        <w:t>.1</w:t>
      </w:r>
      <w:r>
        <w:rPr>
          <w:rFonts w:hint="eastAsia" w:hAnsi="宋体"/>
          <w:bCs/>
        </w:rPr>
        <w:t>磋商小组将按照磋商文件规定的磋商与评审办法对投标人独立进行评审。</w:t>
      </w:r>
    </w:p>
    <w:p w14:paraId="139E513A">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lang w:val="en-US" w:eastAsia="zh-CN"/>
        </w:rPr>
        <w:t>2</w:t>
      </w:r>
      <w:r>
        <w:rPr>
          <w:rFonts w:hint="eastAsia" w:hAnsi="宋体"/>
        </w:rPr>
        <w:t>磋商小组将首先审查响应文件是否实质上响应磋商文件的初审评审指标要求。实质上响应的投标应与磋商文件的全部条款、条件和规格相符，没有重大偏离或保留。所谓重大偏离或保留是指影响合同的施工/供货/服务范围、质量和性能等；或者在实质上与磋商文件不一致，而且限制了合同中买方的权利或投标人的义务；这些偏离或保留将会对其他实质上响应要求的投标人的竞争地位产生不公正的影响。</w:t>
      </w:r>
    </w:p>
    <w:p w14:paraId="04B08395">
      <w:pPr>
        <w:spacing w:line="360" w:lineRule="auto"/>
        <w:ind w:firstLine="549"/>
        <w:rPr>
          <w:rFonts w:hAnsi="宋体"/>
          <w:bCs/>
        </w:rPr>
      </w:pPr>
      <w:r>
        <w:rPr>
          <w:rFonts w:hint="eastAsia" w:hAnsi="宋体"/>
          <w:bCs/>
        </w:rPr>
        <w:t>有下列情形之一的，磋商小组应当否决其投标：</w:t>
      </w:r>
    </w:p>
    <w:p w14:paraId="02807791">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bCs/>
        </w:rPr>
        <w:t>.1</w:t>
      </w:r>
      <w:r>
        <w:rPr>
          <w:rFonts w:hAnsi="宋体"/>
        </w:rPr>
        <w:t>响应文件未经投标单位盖章和单位负责人签字</w:t>
      </w:r>
      <w:r>
        <w:rPr>
          <w:rFonts w:hint="eastAsia" w:hAnsi="宋体"/>
        </w:rPr>
        <w:t>；</w:t>
      </w:r>
    </w:p>
    <w:p w14:paraId="3E590217">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bCs/>
        </w:rPr>
        <w:t>.</w:t>
      </w:r>
      <w:r>
        <w:rPr>
          <w:rFonts w:hint="eastAsia" w:hAnsi="宋体"/>
        </w:rPr>
        <w:t>2磋商</w:t>
      </w:r>
      <w:r>
        <w:rPr>
          <w:rFonts w:hAnsi="宋体"/>
        </w:rPr>
        <w:t>联合体没有提交</w:t>
      </w:r>
      <w:r>
        <w:rPr>
          <w:rFonts w:hint="eastAsia" w:hAnsi="宋体"/>
        </w:rPr>
        <w:t>共同磋商</w:t>
      </w:r>
      <w:r>
        <w:rPr>
          <w:rFonts w:hAnsi="宋体"/>
        </w:rPr>
        <w:t>协议</w:t>
      </w:r>
      <w:r>
        <w:rPr>
          <w:rFonts w:hint="eastAsia" w:hAnsi="宋体"/>
        </w:rPr>
        <w:t>（如联合体投标）</w:t>
      </w:r>
      <w:r>
        <w:rPr>
          <w:rFonts w:hAnsi="宋体"/>
        </w:rPr>
        <w:t>；</w:t>
      </w:r>
    </w:p>
    <w:p w14:paraId="2D5EE778">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bCs/>
        </w:rPr>
        <w:t>.</w:t>
      </w:r>
      <w:r>
        <w:rPr>
          <w:rFonts w:hint="eastAsia" w:hAnsi="宋体"/>
        </w:rPr>
        <w:t>3投标人不符合国家或者磋商文件规定的资格条件；</w:t>
      </w:r>
    </w:p>
    <w:p w14:paraId="3B5E57E8">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rPr>
        <w:t>.4同一投标人提交两个以上不同的响应文件，但磋商文件要求提交备选投标的除外；</w:t>
      </w:r>
    </w:p>
    <w:p w14:paraId="355B27EF">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rPr>
        <w:t>.5</w:t>
      </w:r>
      <w:r>
        <w:rPr>
          <w:rFonts w:hAnsi="宋体"/>
        </w:rPr>
        <w:t>投标报价低于成本或者高于磋商文件设定的最高投标限价；</w:t>
      </w:r>
    </w:p>
    <w:p w14:paraId="0097C706">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rPr>
        <w:t>.6</w:t>
      </w:r>
      <w:r>
        <w:rPr>
          <w:rFonts w:hAnsi="宋体"/>
        </w:rPr>
        <w:t>响应文件没有对磋商文件的实质性要求和条件作出响应；</w:t>
      </w:r>
    </w:p>
    <w:p w14:paraId="7A6E9B33">
      <w:pPr>
        <w:spacing w:line="360" w:lineRule="auto"/>
        <w:ind w:firstLine="549"/>
        <w:rPr>
          <w:rFonts w:hAnsi="宋体"/>
        </w:rPr>
      </w:pPr>
      <w:r>
        <w:rPr>
          <w:rFonts w:hint="eastAsia" w:hAnsi="宋体" w:cs="Tahoma"/>
          <w:szCs w:val="24"/>
        </w:rPr>
        <w:t>2</w:t>
      </w:r>
      <w:r>
        <w:rPr>
          <w:rFonts w:hint="eastAsia" w:hAnsi="宋体" w:cs="Tahoma"/>
          <w:szCs w:val="24"/>
          <w:lang w:val="en-US" w:eastAsia="zh-CN"/>
        </w:rPr>
        <w:t>3</w:t>
      </w:r>
      <w:r>
        <w:rPr>
          <w:rFonts w:hint="eastAsia" w:hAnsi="宋体" w:cs="Tahoma"/>
          <w:szCs w:val="24"/>
        </w:rPr>
        <w:t>.</w:t>
      </w:r>
      <w:r>
        <w:rPr>
          <w:rFonts w:hint="eastAsia" w:hAnsi="宋体"/>
          <w:bCs/>
          <w:lang w:val="en-US" w:eastAsia="zh-CN"/>
        </w:rPr>
        <w:t>2</w:t>
      </w:r>
      <w:r>
        <w:rPr>
          <w:rFonts w:hint="eastAsia" w:hAnsi="宋体"/>
          <w:bCs/>
        </w:rPr>
        <w:t>.</w:t>
      </w:r>
      <w:r>
        <w:rPr>
          <w:rFonts w:hint="eastAsia" w:hAnsi="宋体"/>
        </w:rPr>
        <w:t>7</w:t>
      </w:r>
      <w:r>
        <w:rPr>
          <w:rFonts w:hAnsi="宋体"/>
        </w:rPr>
        <w:t>投标人有串通投标、弄虚作假、行贿等违法行为。</w:t>
      </w:r>
    </w:p>
    <w:p w14:paraId="7E5B2998">
      <w:pPr>
        <w:spacing w:line="360" w:lineRule="auto"/>
        <w:ind w:firstLine="549"/>
        <w:rPr>
          <w:rFonts w:hAnsi="宋体"/>
        </w:rPr>
      </w:pPr>
      <w:r>
        <w:rPr>
          <w:rFonts w:hint="eastAsia" w:hAnsi="宋体" w:cs="Tahoma"/>
          <w:szCs w:val="24"/>
        </w:rPr>
        <w:t>24</w:t>
      </w:r>
      <w:r>
        <w:rPr>
          <w:rFonts w:hint="eastAsia" w:hAnsi="宋体" w:cs="Tahoma"/>
          <w:szCs w:val="24"/>
          <w:lang w:val="en-US" w:eastAsia="zh-CN"/>
        </w:rPr>
        <w:t>.</w:t>
      </w:r>
      <w:r>
        <w:rPr>
          <w:rFonts w:hint="eastAsia" w:hAnsi="宋体"/>
        </w:rPr>
        <w:t>评审时，磋商小组将审查响应文件是否符合磋商文件的初审评审指标要求。</w:t>
      </w:r>
    </w:p>
    <w:p w14:paraId="1C70565C">
      <w:pPr>
        <w:spacing w:line="360" w:lineRule="auto"/>
        <w:ind w:firstLine="549"/>
        <w:rPr>
          <w:rFonts w:hAnsi="宋体"/>
        </w:rPr>
      </w:pPr>
      <w:r>
        <w:rPr>
          <w:rFonts w:hint="eastAsia" w:hAnsi="宋体" w:cs="Tahoma"/>
          <w:szCs w:val="24"/>
        </w:rPr>
        <w:t>24.</w:t>
      </w:r>
      <w:r>
        <w:rPr>
          <w:rFonts w:hint="eastAsia" w:hAnsi="宋体"/>
          <w:lang w:val="en-US" w:eastAsia="zh-CN"/>
        </w:rPr>
        <w:t>1</w:t>
      </w:r>
      <w:r>
        <w:rPr>
          <w:rFonts w:hint="eastAsia" w:hAnsi="宋体"/>
        </w:rPr>
        <w:t>如果响应文件未通过投标有效性评审的，投标无效。</w:t>
      </w:r>
    </w:p>
    <w:p w14:paraId="43F1E8A1">
      <w:pPr>
        <w:spacing w:line="360" w:lineRule="auto"/>
        <w:ind w:firstLine="549"/>
        <w:rPr>
          <w:rFonts w:hAnsi="宋体"/>
        </w:rPr>
      </w:pPr>
      <w:r>
        <w:rPr>
          <w:rFonts w:hint="eastAsia" w:hAnsi="宋体" w:cs="Tahoma"/>
          <w:szCs w:val="24"/>
        </w:rPr>
        <w:t>24.</w:t>
      </w:r>
      <w:r>
        <w:rPr>
          <w:rFonts w:hint="eastAsia" w:hAnsi="宋体"/>
          <w:lang w:val="en-US" w:eastAsia="zh-CN"/>
        </w:rPr>
        <w:t>2</w:t>
      </w:r>
      <w:r>
        <w:rPr>
          <w:rFonts w:hint="eastAsia" w:hAnsi="宋体"/>
        </w:rPr>
        <w:t>磋商小组决定响应文件的响应性及符合性只根据响应文件本身的内容，而不寻求其他外部证据。</w:t>
      </w:r>
    </w:p>
    <w:p w14:paraId="5C53C3B8">
      <w:pPr>
        <w:spacing w:line="360" w:lineRule="auto"/>
        <w:ind w:firstLine="549"/>
        <w:rPr>
          <w:rFonts w:hAnsi="宋体"/>
          <w:b/>
          <w:bCs/>
        </w:rPr>
      </w:pPr>
      <w:r>
        <w:rPr>
          <w:rFonts w:hint="eastAsia" w:hAnsi="宋体"/>
          <w:b/>
          <w:bCs/>
        </w:rPr>
        <w:t>25</w:t>
      </w:r>
      <w:r>
        <w:rPr>
          <w:rFonts w:hint="eastAsia" w:hAnsi="宋体"/>
          <w:b/>
        </w:rPr>
        <w:t>.</w:t>
      </w:r>
      <w:r>
        <w:rPr>
          <w:rFonts w:hint="eastAsia" w:hAnsi="宋体"/>
          <w:b/>
          <w:bCs/>
        </w:rPr>
        <w:t>流标处理</w:t>
      </w:r>
    </w:p>
    <w:p w14:paraId="72AB7B44">
      <w:pPr>
        <w:spacing w:line="360" w:lineRule="auto"/>
        <w:ind w:firstLine="549"/>
        <w:rPr>
          <w:rFonts w:hAnsi="宋体"/>
        </w:rPr>
      </w:pPr>
      <w:r>
        <w:rPr>
          <w:rFonts w:hint="eastAsia" w:hAnsi="宋体"/>
        </w:rPr>
        <w:t>在磋商中，符合专业条件的投标人或对磋商文件作实质响应的投标人不足规定家数的，</w:t>
      </w:r>
      <w:r>
        <w:rPr>
          <w:rFonts w:hint="eastAsia" w:hAnsi="宋体"/>
          <w:szCs w:val="24"/>
        </w:rPr>
        <w:t>磋商小组</w:t>
      </w:r>
      <w:r>
        <w:rPr>
          <w:rFonts w:hint="eastAsia" w:hAnsi="宋体"/>
        </w:rPr>
        <w:t>有权对磋商项目作流标处理。流标后，流标原因将</w:t>
      </w:r>
      <w:r>
        <w:rPr>
          <w:rFonts w:hint="eastAsia" w:hAnsi="宋体"/>
          <w:bCs/>
        </w:rPr>
        <w:t>在网上公</w:t>
      </w:r>
      <w:r>
        <w:rPr>
          <w:rFonts w:hint="eastAsia" w:hAnsi="宋体"/>
        </w:rPr>
        <w:t>示</w:t>
      </w:r>
      <w:r>
        <w:rPr>
          <w:rFonts w:hint="eastAsia" w:hAnsi="宋体"/>
          <w:bCs/>
        </w:rPr>
        <w:t>。</w:t>
      </w:r>
    </w:p>
    <w:p w14:paraId="3FBECD1C">
      <w:pPr>
        <w:spacing w:line="360" w:lineRule="auto"/>
        <w:ind w:firstLine="422" w:firstLineChars="200"/>
        <w:rPr>
          <w:rFonts w:hAnsi="宋体"/>
          <w:b/>
          <w:bCs/>
        </w:rPr>
      </w:pPr>
      <w:r>
        <w:rPr>
          <w:rFonts w:hint="eastAsia" w:hAnsi="宋体"/>
          <w:b/>
          <w:bCs/>
        </w:rPr>
        <w:t>26</w:t>
      </w:r>
      <w:r>
        <w:rPr>
          <w:rFonts w:hint="eastAsia" w:hAnsi="宋体"/>
          <w:b/>
        </w:rPr>
        <w:t>.</w:t>
      </w:r>
      <w:r>
        <w:rPr>
          <w:rFonts w:hint="eastAsia" w:hAnsi="宋体"/>
          <w:b/>
          <w:bCs/>
        </w:rPr>
        <w:t>重新磋商</w:t>
      </w:r>
    </w:p>
    <w:p w14:paraId="464BE82C">
      <w:pPr>
        <w:spacing w:line="360" w:lineRule="auto"/>
        <w:ind w:firstLine="420" w:firstLineChars="200"/>
        <w:rPr>
          <w:rFonts w:hAnsi="宋体"/>
        </w:rPr>
      </w:pPr>
      <w:r>
        <w:rPr>
          <w:rFonts w:hint="eastAsia" w:hAnsi="宋体"/>
        </w:rPr>
        <w:t>26.1项目流标后，招标人可能重新发布磋商公告（磋商邀请），进行重新磋商。</w:t>
      </w:r>
    </w:p>
    <w:p w14:paraId="46B17463">
      <w:pPr>
        <w:spacing w:line="360" w:lineRule="auto"/>
        <w:ind w:firstLine="420" w:firstLineChars="200"/>
        <w:rPr>
          <w:rFonts w:hAnsi="宋体"/>
        </w:rPr>
      </w:pPr>
      <w:r>
        <w:rPr>
          <w:rFonts w:hint="eastAsia" w:hAnsi="宋体"/>
        </w:rPr>
        <w:t>26.</w:t>
      </w:r>
      <w:r>
        <w:rPr>
          <w:rFonts w:hint="eastAsia" w:hAnsi="宋体"/>
          <w:lang w:val="en-US" w:eastAsia="zh-CN"/>
        </w:rPr>
        <w:t>2</w:t>
      </w:r>
      <w:r>
        <w:rPr>
          <w:rFonts w:hint="eastAsia" w:hAnsi="宋体"/>
        </w:rPr>
        <w:t>重新磋商可能调整前次磋商的各项规定及要求，包括招标方式、项目预算、投标人资格、付款方式、磋商需求、磋商与评审办法等。投标人参与重新磋商，应及时获取新的磋商文件，以新的磋商文件为依据，编制响应文件。</w:t>
      </w:r>
    </w:p>
    <w:p w14:paraId="2B73D1C0">
      <w:pPr>
        <w:pStyle w:val="5"/>
        <w:ind w:firstLine="628"/>
        <w:jc w:val="both"/>
        <w:rPr>
          <w:rFonts w:hAnsi="宋体"/>
          <w:sz w:val="28"/>
        </w:rPr>
      </w:pPr>
      <w:bookmarkStart w:id="37" w:name="_Toc522466828"/>
      <w:bookmarkStart w:id="38" w:name="_Toc50128754"/>
      <w:bookmarkStart w:id="39" w:name="_Toc477793061"/>
      <w:bookmarkStart w:id="40" w:name="_Toc460487454"/>
      <w:r>
        <w:rPr>
          <w:rFonts w:hint="eastAsia" w:hAnsi="宋体"/>
          <w:sz w:val="28"/>
        </w:rPr>
        <w:t>六．定标与签订合同</w:t>
      </w:r>
      <w:bookmarkEnd w:id="37"/>
      <w:bookmarkEnd w:id="38"/>
      <w:bookmarkEnd w:id="39"/>
      <w:bookmarkEnd w:id="40"/>
    </w:p>
    <w:p w14:paraId="76F34B57">
      <w:pPr>
        <w:spacing w:line="360" w:lineRule="auto"/>
        <w:ind w:firstLine="549"/>
        <w:rPr>
          <w:rFonts w:hAnsi="宋体"/>
          <w:b/>
        </w:rPr>
      </w:pPr>
      <w:r>
        <w:rPr>
          <w:rFonts w:hint="eastAsia" w:hAnsi="宋体"/>
          <w:b/>
        </w:rPr>
        <w:t>27.定标</w:t>
      </w:r>
    </w:p>
    <w:p w14:paraId="069D4FE4">
      <w:pPr>
        <w:spacing w:line="360" w:lineRule="auto"/>
        <w:ind w:firstLine="549"/>
        <w:rPr>
          <w:rFonts w:hAnsi="宋体"/>
        </w:rPr>
      </w:pPr>
      <w:r>
        <w:rPr>
          <w:rFonts w:hint="eastAsia" w:hAnsi="宋体"/>
        </w:rPr>
        <w:t>27</w:t>
      </w:r>
      <w:r>
        <w:rPr>
          <w:rFonts w:hAnsi="宋体"/>
        </w:rPr>
        <w:t>.</w:t>
      </w:r>
      <w:r>
        <w:rPr>
          <w:rFonts w:hint="eastAsia" w:hAnsi="宋体"/>
        </w:rPr>
        <w:t>1磋商小组应当按磋商文件规定的标准和方法提出独立评审意见，推荐中标候选人。</w:t>
      </w:r>
    </w:p>
    <w:p w14:paraId="2CF229C6">
      <w:pPr>
        <w:spacing w:line="360" w:lineRule="auto"/>
        <w:ind w:firstLine="549"/>
        <w:rPr>
          <w:rFonts w:hAnsi="宋体"/>
        </w:rPr>
      </w:pPr>
      <w:r>
        <w:rPr>
          <w:rFonts w:hint="eastAsia" w:hAnsi="宋体"/>
          <w:lang w:val="en-US" w:eastAsia="zh-CN"/>
        </w:rPr>
        <w:t>27.2</w:t>
      </w:r>
      <w:r>
        <w:rPr>
          <w:rFonts w:hint="eastAsia" w:hAnsi="宋体"/>
        </w:rPr>
        <w:t>第一中标候选人放弃中标、因不可抗力不能履行合同、不按照磋商文件要求提交履约保证金，或者被查实存在影响中标结果的违法行为等情形，不符合中标条件的，招标人可以按照磋商小组提出的中标候选人名单排序依次确定其他中标候选人为中标人，也可以重新招标。</w:t>
      </w:r>
    </w:p>
    <w:p w14:paraId="05B1C226">
      <w:pPr>
        <w:spacing w:line="360" w:lineRule="auto"/>
        <w:ind w:firstLine="549"/>
        <w:rPr>
          <w:rFonts w:hAnsi="宋体"/>
        </w:rPr>
      </w:pPr>
      <w:r>
        <w:rPr>
          <w:rFonts w:hint="eastAsia" w:hAnsi="宋体"/>
        </w:rPr>
        <w:t>27.3原则上把合同授予实质上响应磋商文件要求的排名最前的中标候选人。</w:t>
      </w:r>
    </w:p>
    <w:p w14:paraId="43EDA170">
      <w:pPr>
        <w:spacing w:line="360" w:lineRule="auto"/>
        <w:ind w:firstLine="549"/>
        <w:rPr>
          <w:rFonts w:hAnsi="宋体"/>
        </w:rPr>
      </w:pPr>
      <w:r>
        <w:rPr>
          <w:rFonts w:hint="eastAsia" w:hAnsi="宋体"/>
        </w:rPr>
        <w:t>27.4 最低报价并不是被授予合同的保证。</w:t>
      </w:r>
    </w:p>
    <w:p w14:paraId="6830E966">
      <w:pPr>
        <w:spacing w:line="360" w:lineRule="auto"/>
        <w:ind w:firstLine="549"/>
        <w:rPr>
          <w:rFonts w:hAnsi="宋体"/>
        </w:rPr>
      </w:pPr>
      <w:r>
        <w:rPr>
          <w:rFonts w:hint="eastAsia" w:hAnsi="宋体"/>
        </w:rPr>
        <w:t>27.5 凡发现中标候选人有下列行为之一的，其中标无效，并移交公共资源交易监督管理部门依法处理：</w:t>
      </w:r>
    </w:p>
    <w:p w14:paraId="12FC7FB8">
      <w:pPr>
        <w:spacing w:line="360" w:lineRule="auto"/>
        <w:ind w:firstLine="549"/>
        <w:rPr>
          <w:rFonts w:hAnsi="宋体"/>
        </w:rPr>
      </w:pPr>
      <w:r>
        <w:rPr>
          <w:rFonts w:hAnsi="宋体"/>
          <w:b/>
          <w:bCs/>
        </w:rPr>
        <w:t>27</w:t>
      </w:r>
      <w:r>
        <w:rPr>
          <w:rFonts w:hint="eastAsia" w:hAnsi="宋体"/>
          <w:b/>
          <w:bCs/>
        </w:rPr>
        <w:t>.5.1</w:t>
      </w:r>
      <w:r>
        <w:rPr>
          <w:rFonts w:hint="eastAsia" w:hAnsi="宋体"/>
        </w:rPr>
        <w:t>有下列情形之一的，属于投标人相互串通投标：</w:t>
      </w:r>
    </w:p>
    <w:p w14:paraId="4C2969AC">
      <w:pPr>
        <w:spacing w:line="360" w:lineRule="auto"/>
        <w:ind w:firstLine="549"/>
        <w:rPr>
          <w:rFonts w:hAnsi="宋体"/>
        </w:rPr>
      </w:pPr>
      <w:r>
        <w:rPr>
          <w:rFonts w:hint="eastAsia" w:hAnsi="宋体"/>
        </w:rPr>
        <w:t>27.5.1.1投标人之间协商投标报价等响应文件的实质性内容；</w:t>
      </w:r>
    </w:p>
    <w:p w14:paraId="653A26E2">
      <w:pPr>
        <w:spacing w:line="360" w:lineRule="auto"/>
        <w:ind w:left="549"/>
        <w:rPr>
          <w:rFonts w:hAnsi="宋体"/>
        </w:rPr>
      </w:pPr>
      <w:r>
        <w:rPr>
          <w:rFonts w:hint="eastAsia" w:hAnsi="宋体"/>
        </w:rPr>
        <w:t>27.5.1.2投标人之间约定中标人；</w:t>
      </w:r>
    </w:p>
    <w:p w14:paraId="47664DC1">
      <w:pPr>
        <w:spacing w:line="360" w:lineRule="auto"/>
        <w:ind w:left="549"/>
        <w:rPr>
          <w:rFonts w:hAnsi="宋体"/>
        </w:rPr>
      </w:pPr>
      <w:r>
        <w:rPr>
          <w:rFonts w:hint="eastAsia" w:hAnsi="宋体"/>
        </w:rPr>
        <w:t>27.5.1.3投标人之间约定部分投标人放弃投标或者中标；</w:t>
      </w:r>
    </w:p>
    <w:p w14:paraId="012B9F07">
      <w:pPr>
        <w:spacing w:line="360" w:lineRule="auto"/>
        <w:ind w:left="549"/>
        <w:rPr>
          <w:rFonts w:hAnsi="宋体"/>
        </w:rPr>
      </w:pPr>
      <w:r>
        <w:rPr>
          <w:rFonts w:hint="eastAsia" w:hAnsi="宋体"/>
        </w:rPr>
        <w:t>27.5.1.4属于同一集团、协会、商会等组织成员的投标人按照该组织要求协同投标；</w:t>
      </w:r>
    </w:p>
    <w:p w14:paraId="3D9B4796">
      <w:pPr>
        <w:spacing w:line="360" w:lineRule="auto"/>
        <w:ind w:left="549"/>
        <w:rPr>
          <w:rFonts w:hAnsi="宋体"/>
        </w:rPr>
      </w:pPr>
      <w:r>
        <w:rPr>
          <w:rFonts w:hint="eastAsia" w:hAnsi="宋体"/>
        </w:rPr>
        <w:t>27.5.1.5投标人之间为谋取中标或者排斥特定投标人而采取的其他联合行动。</w:t>
      </w:r>
    </w:p>
    <w:p w14:paraId="730FBC0B">
      <w:pPr>
        <w:spacing w:line="360" w:lineRule="auto"/>
        <w:ind w:left="549"/>
        <w:rPr>
          <w:rFonts w:hAnsi="宋体"/>
        </w:rPr>
      </w:pPr>
      <w:r>
        <w:rPr>
          <w:rFonts w:hint="eastAsia" w:hAnsi="宋体"/>
        </w:rPr>
        <w:t>27</w:t>
      </w:r>
      <w:r>
        <w:rPr>
          <w:rFonts w:hint="eastAsia" w:hAnsi="宋体"/>
          <w:bCs/>
        </w:rPr>
        <w:t>.5.2</w:t>
      </w:r>
      <w:r>
        <w:rPr>
          <w:rFonts w:hint="eastAsia" w:hAnsi="宋体"/>
        </w:rPr>
        <w:t>有下列情形之一的，视为投标人相互串通投标：</w:t>
      </w:r>
    </w:p>
    <w:p w14:paraId="1C0963BE">
      <w:pPr>
        <w:spacing w:line="360" w:lineRule="auto"/>
        <w:ind w:left="549"/>
        <w:rPr>
          <w:rFonts w:hAnsi="宋体"/>
        </w:rPr>
      </w:pPr>
      <w:r>
        <w:rPr>
          <w:rFonts w:hint="eastAsia" w:hAnsi="宋体"/>
        </w:rPr>
        <w:t>27.5.2.1不同投标人的响应文件由同一单位或者个人编制；</w:t>
      </w:r>
    </w:p>
    <w:p w14:paraId="59CC7657">
      <w:pPr>
        <w:spacing w:line="360" w:lineRule="auto"/>
        <w:ind w:left="549"/>
        <w:rPr>
          <w:rFonts w:hAnsi="宋体"/>
        </w:rPr>
      </w:pPr>
      <w:r>
        <w:rPr>
          <w:rFonts w:hint="eastAsia" w:hAnsi="宋体"/>
        </w:rPr>
        <w:t>27.5.2.2不同投标人委托同一单位或者个人办理投标事宜；</w:t>
      </w:r>
    </w:p>
    <w:p w14:paraId="2B31916D">
      <w:pPr>
        <w:spacing w:line="360" w:lineRule="auto"/>
        <w:ind w:left="549"/>
        <w:rPr>
          <w:rFonts w:hAnsi="宋体"/>
        </w:rPr>
      </w:pPr>
      <w:r>
        <w:rPr>
          <w:rFonts w:hint="eastAsia" w:hAnsi="宋体"/>
        </w:rPr>
        <w:t>27.5.2.3不同投标人的响应文件载明的项目管理成员为同一人；</w:t>
      </w:r>
    </w:p>
    <w:p w14:paraId="5D4DDC83">
      <w:pPr>
        <w:spacing w:line="360" w:lineRule="auto"/>
        <w:ind w:left="549"/>
        <w:rPr>
          <w:rFonts w:hAnsi="宋体"/>
        </w:rPr>
      </w:pPr>
      <w:r>
        <w:rPr>
          <w:rFonts w:hint="eastAsia" w:hAnsi="宋体"/>
        </w:rPr>
        <w:t>27.5.2.4不同投标人的响应文件异常一致或者投标报价呈规律性差异；</w:t>
      </w:r>
    </w:p>
    <w:p w14:paraId="002A8BFD">
      <w:pPr>
        <w:spacing w:line="360" w:lineRule="auto"/>
        <w:ind w:left="549"/>
        <w:rPr>
          <w:rFonts w:hAnsi="宋体"/>
        </w:rPr>
      </w:pPr>
      <w:r>
        <w:rPr>
          <w:rFonts w:hint="eastAsia" w:hAnsi="宋体"/>
        </w:rPr>
        <w:t>27.5.2.5不同投标人的响应文件相互混装；</w:t>
      </w:r>
    </w:p>
    <w:p w14:paraId="248DF2B1">
      <w:pPr>
        <w:spacing w:line="360" w:lineRule="auto"/>
        <w:ind w:left="549"/>
        <w:rPr>
          <w:rFonts w:hAnsi="宋体"/>
        </w:rPr>
      </w:pPr>
      <w:r>
        <w:rPr>
          <w:rFonts w:hint="eastAsia" w:hAnsi="宋体"/>
        </w:rPr>
        <w:t>27.5.2.6不同投标人的磋商保证金从同一单位或者个人的账户转出。</w:t>
      </w:r>
    </w:p>
    <w:p w14:paraId="19B0D6D7">
      <w:pPr>
        <w:spacing w:line="360" w:lineRule="auto"/>
        <w:ind w:left="549"/>
        <w:rPr>
          <w:rFonts w:hAnsi="宋体"/>
        </w:rPr>
      </w:pPr>
      <w:r>
        <w:rPr>
          <w:rFonts w:hint="eastAsia" w:hAnsi="宋体"/>
        </w:rPr>
        <w:t>27</w:t>
      </w:r>
      <w:r>
        <w:rPr>
          <w:rFonts w:hint="eastAsia" w:hAnsi="宋体"/>
          <w:bCs/>
        </w:rPr>
        <w:t>.5.3</w:t>
      </w:r>
      <w:r>
        <w:rPr>
          <w:rFonts w:hint="eastAsia" w:hAnsi="宋体"/>
        </w:rPr>
        <w:t>有下列情形之一的，属于招标人与投标人串通投标：</w:t>
      </w:r>
    </w:p>
    <w:p w14:paraId="17A60588">
      <w:pPr>
        <w:spacing w:line="360" w:lineRule="auto"/>
        <w:ind w:left="549"/>
        <w:rPr>
          <w:rFonts w:hAnsi="宋体"/>
        </w:rPr>
      </w:pPr>
      <w:r>
        <w:rPr>
          <w:rFonts w:hint="eastAsia" w:hAnsi="宋体"/>
        </w:rPr>
        <w:t>27</w:t>
      </w:r>
      <w:r>
        <w:rPr>
          <w:rFonts w:hint="eastAsia" w:hAnsi="宋体"/>
          <w:bCs/>
        </w:rPr>
        <w:t>.5.3.1</w:t>
      </w:r>
      <w:r>
        <w:rPr>
          <w:rFonts w:hint="eastAsia" w:hAnsi="宋体"/>
        </w:rPr>
        <w:t>招标人在开标前开启响应文件并将有关信息泄露给其他投标人；</w:t>
      </w:r>
    </w:p>
    <w:p w14:paraId="3E0A3CC6">
      <w:pPr>
        <w:spacing w:line="360" w:lineRule="auto"/>
        <w:ind w:left="549"/>
        <w:rPr>
          <w:rFonts w:hAnsi="宋体"/>
        </w:rPr>
      </w:pPr>
      <w:r>
        <w:rPr>
          <w:rFonts w:hint="eastAsia" w:hAnsi="宋体"/>
        </w:rPr>
        <w:t>27</w:t>
      </w:r>
      <w:r>
        <w:rPr>
          <w:rFonts w:hint="eastAsia" w:hAnsi="宋体"/>
          <w:bCs/>
        </w:rPr>
        <w:t>.5.3.2</w:t>
      </w:r>
      <w:r>
        <w:rPr>
          <w:rFonts w:hint="eastAsia" w:hAnsi="宋体"/>
        </w:rPr>
        <w:t>招标人直接或者间接向投标人泄露标底、磋商小组成员等信息；</w:t>
      </w:r>
    </w:p>
    <w:p w14:paraId="11C85AD5">
      <w:pPr>
        <w:spacing w:line="360" w:lineRule="auto"/>
        <w:ind w:left="549"/>
        <w:rPr>
          <w:rFonts w:hAnsi="宋体"/>
        </w:rPr>
      </w:pPr>
      <w:r>
        <w:rPr>
          <w:rFonts w:hint="eastAsia" w:hAnsi="宋体"/>
        </w:rPr>
        <w:t>27</w:t>
      </w:r>
      <w:r>
        <w:rPr>
          <w:rFonts w:hint="eastAsia" w:hAnsi="宋体"/>
          <w:bCs/>
        </w:rPr>
        <w:t>.5.3.3</w:t>
      </w:r>
      <w:r>
        <w:rPr>
          <w:rFonts w:hint="eastAsia" w:hAnsi="宋体"/>
        </w:rPr>
        <w:t>招标人明示或者暗示投标人压低或者抬高投标报价；</w:t>
      </w:r>
    </w:p>
    <w:p w14:paraId="15531F5D">
      <w:pPr>
        <w:spacing w:line="360" w:lineRule="auto"/>
        <w:ind w:left="549"/>
        <w:rPr>
          <w:rFonts w:hAnsi="宋体"/>
        </w:rPr>
      </w:pPr>
      <w:r>
        <w:rPr>
          <w:rFonts w:hint="eastAsia" w:hAnsi="宋体"/>
        </w:rPr>
        <w:t>27</w:t>
      </w:r>
      <w:r>
        <w:rPr>
          <w:rFonts w:hint="eastAsia" w:hAnsi="宋体"/>
          <w:bCs/>
        </w:rPr>
        <w:t>.5.3.4</w:t>
      </w:r>
      <w:r>
        <w:rPr>
          <w:rFonts w:hint="eastAsia" w:hAnsi="宋体"/>
        </w:rPr>
        <w:t>招标人授意投标人撤换、修改响应文件；</w:t>
      </w:r>
    </w:p>
    <w:p w14:paraId="07F7D0B2">
      <w:pPr>
        <w:spacing w:line="360" w:lineRule="auto"/>
        <w:ind w:left="549"/>
        <w:rPr>
          <w:rFonts w:hAnsi="宋体"/>
        </w:rPr>
      </w:pPr>
      <w:r>
        <w:rPr>
          <w:rFonts w:hint="eastAsia" w:hAnsi="宋体"/>
        </w:rPr>
        <w:t>27</w:t>
      </w:r>
      <w:r>
        <w:rPr>
          <w:rFonts w:hint="eastAsia" w:hAnsi="宋体"/>
          <w:bCs/>
        </w:rPr>
        <w:t>.5.3.5</w:t>
      </w:r>
      <w:r>
        <w:rPr>
          <w:rFonts w:hint="eastAsia" w:hAnsi="宋体"/>
        </w:rPr>
        <w:t>招标人明示或者暗示投标人为特定投标人中标提供方便；</w:t>
      </w:r>
    </w:p>
    <w:p w14:paraId="322CDD14">
      <w:pPr>
        <w:spacing w:line="360" w:lineRule="auto"/>
        <w:ind w:left="549"/>
        <w:rPr>
          <w:rFonts w:hAnsi="宋体"/>
        </w:rPr>
      </w:pPr>
      <w:r>
        <w:rPr>
          <w:rFonts w:hint="eastAsia" w:hAnsi="宋体"/>
        </w:rPr>
        <w:t>27</w:t>
      </w:r>
      <w:r>
        <w:rPr>
          <w:rFonts w:hint="eastAsia" w:hAnsi="宋体"/>
          <w:bCs/>
        </w:rPr>
        <w:t>.5.3.6</w:t>
      </w:r>
      <w:r>
        <w:rPr>
          <w:rFonts w:hint="eastAsia" w:hAnsi="宋体"/>
        </w:rPr>
        <w:t>招标人与投标人为谋求特定投标人中标而采取的其他串通行为。</w:t>
      </w:r>
    </w:p>
    <w:p w14:paraId="2237F7A9">
      <w:pPr>
        <w:spacing w:line="360" w:lineRule="auto"/>
        <w:ind w:left="549"/>
        <w:rPr>
          <w:rFonts w:hAnsi="宋体"/>
        </w:rPr>
      </w:pPr>
      <w:r>
        <w:rPr>
          <w:rFonts w:hint="eastAsia" w:hAnsi="宋体"/>
        </w:rPr>
        <w:t>27</w:t>
      </w:r>
      <w:r>
        <w:rPr>
          <w:rFonts w:hint="eastAsia" w:hAnsi="宋体"/>
          <w:bCs/>
        </w:rPr>
        <w:t>.5.4</w:t>
      </w:r>
      <w:r>
        <w:rPr>
          <w:rFonts w:hint="eastAsia" w:hAnsi="宋体"/>
        </w:rPr>
        <w:t>使用通过受让或者租借等方式获取的资格、资质证书投标的，</w:t>
      </w:r>
    </w:p>
    <w:p w14:paraId="70F8916D">
      <w:pPr>
        <w:spacing w:line="360" w:lineRule="auto"/>
        <w:ind w:left="549"/>
        <w:rPr>
          <w:rFonts w:hAnsi="宋体"/>
        </w:rPr>
      </w:pPr>
      <w:r>
        <w:rPr>
          <w:rFonts w:hint="eastAsia" w:hAnsi="宋体"/>
        </w:rPr>
        <w:t>27.5.5投标人有下列情形之一的，属于招标投标法第三十三条规定的以其他方式弄虚作假的行为：</w:t>
      </w:r>
    </w:p>
    <w:p w14:paraId="55DC5CCE">
      <w:pPr>
        <w:spacing w:line="360" w:lineRule="auto"/>
        <w:ind w:left="549"/>
        <w:rPr>
          <w:rFonts w:hAnsi="宋体"/>
        </w:rPr>
      </w:pPr>
      <w:r>
        <w:rPr>
          <w:rFonts w:hint="eastAsia" w:hAnsi="宋体"/>
        </w:rPr>
        <w:t>27.5.5.1使用伪造、变造的许可证件；</w:t>
      </w:r>
    </w:p>
    <w:p w14:paraId="5817CFA6">
      <w:pPr>
        <w:spacing w:line="360" w:lineRule="auto"/>
        <w:ind w:left="549"/>
        <w:rPr>
          <w:rFonts w:hAnsi="宋体"/>
        </w:rPr>
      </w:pPr>
      <w:r>
        <w:rPr>
          <w:rFonts w:hint="eastAsia" w:hAnsi="宋体"/>
        </w:rPr>
        <w:t>27.5.5.2提供虚假的财务状况或者业绩；</w:t>
      </w:r>
    </w:p>
    <w:p w14:paraId="57AFA1CE">
      <w:pPr>
        <w:spacing w:line="360" w:lineRule="auto"/>
        <w:ind w:left="549"/>
        <w:rPr>
          <w:rFonts w:hAnsi="宋体"/>
        </w:rPr>
      </w:pPr>
      <w:r>
        <w:rPr>
          <w:rFonts w:hint="eastAsia" w:hAnsi="宋体"/>
        </w:rPr>
        <w:t>27.5.5.3提供虚假的项目负责人或者主要技术人员简历、劳动关系证明；</w:t>
      </w:r>
    </w:p>
    <w:p w14:paraId="58B5C396">
      <w:pPr>
        <w:spacing w:line="360" w:lineRule="auto"/>
        <w:ind w:left="549"/>
        <w:rPr>
          <w:rFonts w:hAnsi="宋体"/>
        </w:rPr>
      </w:pPr>
      <w:r>
        <w:rPr>
          <w:rFonts w:hint="eastAsia" w:hAnsi="宋体"/>
        </w:rPr>
        <w:t>27.5.5.4提供虚假的信用状况；</w:t>
      </w:r>
    </w:p>
    <w:p w14:paraId="59D01795">
      <w:pPr>
        <w:spacing w:line="360" w:lineRule="auto"/>
        <w:ind w:left="549"/>
        <w:rPr>
          <w:rFonts w:hAnsi="宋体"/>
        </w:rPr>
      </w:pPr>
      <w:r>
        <w:rPr>
          <w:rFonts w:hint="eastAsia" w:hAnsi="宋体"/>
        </w:rPr>
        <w:t>27.5.5.5其他弄虚作假的行为。</w:t>
      </w:r>
    </w:p>
    <w:p w14:paraId="701DE97B">
      <w:pPr>
        <w:spacing w:line="360" w:lineRule="auto"/>
        <w:ind w:left="549"/>
        <w:rPr>
          <w:rFonts w:hAnsi="宋体"/>
        </w:rPr>
      </w:pPr>
      <w:r>
        <w:rPr>
          <w:rFonts w:hint="eastAsia" w:hAnsi="宋体"/>
        </w:rPr>
        <w:t>27.5.6其他违反招投标法律、法规和规章强制性规定的行为。</w:t>
      </w:r>
    </w:p>
    <w:p w14:paraId="074E6F5D">
      <w:pPr>
        <w:spacing w:line="360" w:lineRule="auto"/>
        <w:ind w:firstLine="549"/>
        <w:rPr>
          <w:rFonts w:hAnsi="宋体"/>
        </w:rPr>
      </w:pPr>
      <w:r>
        <w:rPr>
          <w:rFonts w:hint="eastAsia" w:hAnsi="宋体"/>
        </w:rPr>
        <w:t>27.6 定标前，招标人对中标候选人进行约谈（如须）。约谈包括诚信承诺、履约承诺以及原件核查等内容。</w:t>
      </w:r>
    </w:p>
    <w:p w14:paraId="75167528">
      <w:pPr>
        <w:spacing w:line="360" w:lineRule="auto"/>
        <w:ind w:firstLine="549"/>
        <w:rPr>
          <w:rFonts w:hAnsi="宋体"/>
        </w:rPr>
      </w:pPr>
      <w:r>
        <w:rPr>
          <w:rFonts w:hint="eastAsia" w:hAnsi="宋体"/>
        </w:rPr>
        <w:t>27.7评审结果及中标人信息将</w:t>
      </w:r>
      <w:r>
        <w:rPr>
          <w:rFonts w:hint="eastAsia" w:hAnsi="宋体"/>
          <w:bCs/>
        </w:rPr>
        <w:t>在网上公</w:t>
      </w:r>
      <w:r>
        <w:rPr>
          <w:rFonts w:hint="eastAsia" w:hAnsi="宋体"/>
        </w:rPr>
        <w:t>示，公示期不少于3日，期满无异议评审结果自动转为中标结果。</w:t>
      </w:r>
    </w:p>
    <w:p w14:paraId="3509BE18">
      <w:pPr>
        <w:spacing w:line="360" w:lineRule="auto"/>
        <w:ind w:firstLine="549"/>
        <w:rPr>
          <w:rFonts w:hAnsi="宋体"/>
          <w:b/>
        </w:rPr>
      </w:pPr>
      <w:r>
        <w:rPr>
          <w:rFonts w:hint="eastAsia" w:hAnsi="宋体"/>
          <w:b/>
        </w:rPr>
        <w:t>28.中标通知书</w:t>
      </w:r>
    </w:p>
    <w:p w14:paraId="24333860">
      <w:pPr>
        <w:pStyle w:val="31"/>
        <w:snapToGrid w:val="0"/>
        <w:ind w:left="678" w:leftChars="228" w:hanging="199" w:hangingChars="95"/>
      </w:pPr>
      <w:r>
        <w:rPr>
          <w:rFonts w:hint="eastAsia"/>
        </w:rPr>
        <w:t>28</w:t>
      </w:r>
      <w:r>
        <w:t>.1</w:t>
      </w:r>
      <w:r>
        <w:rPr>
          <w:rFonts w:hint="eastAsia"/>
        </w:rPr>
        <w:t>招标人将以中标通知书形式通知中标人，其投标已被接受。</w:t>
      </w:r>
    </w:p>
    <w:p w14:paraId="6850FF78">
      <w:pPr>
        <w:pStyle w:val="31"/>
        <w:snapToGrid w:val="0"/>
        <w:ind w:left="678" w:leftChars="228" w:hanging="199" w:hangingChars="95"/>
      </w:pPr>
      <w:r>
        <w:rPr>
          <w:rFonts w:hint="eastAsia"/>
        </w:rPr>
        <w:t>28</w:t>
      </w:r>
      <w:r>
        <w:t>.</w:t>
      </w:r>
      <w:r>
        <w:rPr>
          <w:rFonts w:hint="eastAsia"/>
        </w:rPr>
        <w:t>2招标人对未中标的投标人不做未中标原因的解释。</w:t>
      </w:r>
    </w:p>
    <w:p w14:paraId="65F9E3DD">
      <w:pPr>
        <w:spacing w:line="360" w:lineRule="auto"/>
        <w:ind w:firstLine="420" w:firstLineChars="200"/>
        <w:rPr>
          <w:rFonts w:hAnsi="宋体"/>
        </w:rPr>
      </w:pPr>
      <w:r>
        <w:rPr>
          <w:rFonts w:hint="eastAsia" w:hAnsi="宋体"/>
          <w:szCs w:val="22"/>
        </w:rPr>
        <w:t>28.3中</w:t>
      </w:r>
      <w:r>
        <w:rPr>
          <w:rFonts w:hint="eastAsia" w:hAnsi="宋体"/>
        </w:rPr>
        <w:t>标结果公告公示后，中标人请在3个工作日内委派专人凭介绍信或公司授权书（须同时携带有效身份证明）领取中标通知书。</w:t>
      </w:r>
    </w:p>
    <w:p w14:paraId="4C3034BF">
      <w:pPr>
        <w:spacing w:line="360" w:lineRule="auto"/>
        <w:ind w:firstLine="549"/>
        <w:rPr>
          <w:rFonts w:hAnsi="宋体"/>
          <w:b/>
          <w:szCs w:val="24"/>
        </w:rPr>
      </w:pPr>
      <w:r>
        <w:rPr>
          <w:rFonts w:hint="eastAsia" w:hAnsi="宋体"/>
          <w:b/>
          <w:szCs w:val="24"/>
          <w:lang w:val="en-US" w:eastAsia="zh-CN"/>
        </w:rPr>
        <w:t>29</w:t>
      </w:r>
      <w:r>
        <w:rPr>
          <w:rFonts w:hint="eastAsia" w:hAnsi="宋体"/>
          <w:b/>
          <w:szCs w:val="24"/>
        </w:rPr>
        <w:t>.履约保证金</w:t>
      </w:r>
    </w:p>
    <w:p w14:paraId="6C21E872">
      <w:pPr>
        <w:spacing w:line="360" w:lineRule="auto"/>
        <w:ind w:firstLine="549"/>
        <w:rPr>
          <w:rFonts w:hAnsi="宋体"/>
          <w:dstrike/>
          <w:szCs w:val="24"/>
        </w:rPr>
      </w:pPr>
      <w:r>
        <w:rPr>
          <w:rFonts w:hint="eastAsia" w:hAnsi="宋体"/>
          <w:szCs w:val="24"/>
          <w:lang w:val="en-US" w:eastAsia="zh-CN"/>
        </w:rPr>
        <w:t>29</w:t>
      </w:r>
      <w:r>
        <w:rPr>
          <w:rFonts w:hAnsi="宋体"/>
          <w:szCs w:val="24"/>
        </w:rPr>
        <w:t>.1</w:t>
      </w:r>
      <w:r>
        <w:rPr>
          <w:rFonts w:hint="eastAsia" w:hAnsi="宋体"/>
          <w:szCs w:val="24"/>
        </w:rPr>
        <w:t>签订合同前，投标人应提交履约保证金。履约保证金金额、收受方式及收受人见投标人须知前附表规定。</w:t>
      </w:r>
    </w:p>
    <w:p w14:paraId="57A568CB">
      <w:pPr>
        <w:spacing w:line="360" w:lineRule="auto"/>
        <w:ind w:firstLine="549"/>
        <w:rPr>
          <w:rFonts w:hAnsi="宋体"/>
          <w:szCs w:val="24"/>
        </w:rPr>
      </w:pPr>
      <w:r>
        <w:rPr>
          <w:rFonts w:hint="eastAsia" w:hAnsi="宋体"/>
          <w:szCs w:val="24"/>
          <w:lang w:val="en-US" w:eastAsia="zh-CN"/>
        </w:rPr>
        <w:t>29</w:t>
      </w:r>
      <w:r>
        <w:rPr>
          <w:rFonts w:hAnsi="宋体"/>
          <w:szCs w:val="24"/>
        </w:rPr>
        <w:t>.</w:t>
      </w:r>
      <w:r>
        <w:rPr>
          <w:rFonts w:hint="eastAsia" w:hAnsi="宋体"/>
          <w:szCs w:val="24"/>
          <w:lang w:val="en-US" w:eastAsia="zh-CN"/>
        </w:rPr>
        <w:t>2</w:t>
      </w:r>
      <w:r>
        <w:rPr>
          <w:rFonts w:hint="eastAsia" w:hAnsi="宋体"/>
          <w:szCs w:val="24"/>
        </w:rPr>
        <w:t>投标人须知前附表约定收取定额履约保证金或免收履约保证金的，从其规定。</w:t>
      </w:r>
    </w:p>
    <w:p w14:paraId="0C67A3D6">
      <w:pPr>
        <w:spacing w:line="360" w:lineRule="auto"/>
        <w:ind w:firstLine="549"/>
        <w:rPr>
          <w:rFonts w:hAnsi="宋体"/>
          <w:szCs w:val="24"/>
        </w:rPr>
      </w:pPr>
      <w:r>
        <w:rPr>
          <w:rFonts w:hint="eastAsia" w:hAnsi="宋体"/>
          <w:szCs w:val="24"/>
          <w:lang w:val="en-US" w:eastAsia="zh-CN"/>
        </w:rPr>
        <w:t>29</w:t>
      </w:r>
      <w:r>
        <w:rPr>
          <w:rFonts w:hAnsi="宋体"/>
          <w:szCs w:val="24"/>
        </w:rPr>
        <w:t>.</w:t>
      </w:r>
      <w:r>
        <w:rPr>
          <w:rFonts w:hint="eastAsia" w:hAnsi="宋体"/>
          <w:szCs w:val="24"/>
        </w:rPr>
        <w:t>3</w:t>
      </w:r>
      <w:r>
        <w:rPr>
          <w:rFonts w:hint="eastAsia" w:hAnsi="宋体"/>
        </w:rPr>
        <w:t>如果中标人未按规定交纳履约保证金的，视为放弃中标，其磋商保证金不予退还，给招标人造成的损失超过磋商保证金数额的，中标人还应当对超过部分予以赔偿。在此情况下招标人可以按照磋商小组提出的中标候选人名单排序依次确定其他中标候选人为中标人，也可以重新招标。</w:t>
      </w:r>
    </w:p>
    <w:p w14:paraId="3920D3B9">
      <w:pPr>
        <w:spacing w:line="360" w:lineRule="auto"/>
        <w:ind w:firstLine="549"/>
        <w:rPr>
          <w:rFonts w:hAnsi="宋体"/>
          <w:b/>
          <w:szCs w:val="24"/>
        </w:rPr>
      </w:pPr>
      <w:r>
        <w:rPr>
          <w:rFonts w:hint="eastAsia" w:hAnsi="宋体"/>
          <w:b/>
          <w:szCs w:val="24"/>
          <w:lang w:val="en-US" w:eastAsia="zh-CN"/>
        </w:rPr>
        <w:t>30</w:t>
      </w:r>
      <w:r>
        <w:rPr>
          <w:rFonts w:hint="eastAsia" w:hAnsi="宋体"/>
          <w:b/>
          <w:szCs w:val="24"/>
        </w:rPr>
        <w:t>.签订合同</w:t>
      </w:r>
    </w:p>
    <w:p w14:paraId="13CBB873">
      <w:pPr>
        <w:spacing w:line="360" w:lineRule="auto"/>
        <w:ind w:firstLine="549"/>
        <w:rPr>
          <w:rFonts w:hAnsi="宋体"/>
          <w:szCs w:val="24"/>
        </w:rPr>
      </w:pPr>
      <w:r>
        <w:rPr>
          <w:rFonts w:hint="eastAsia" w:hAnsi="宋体"/>
          <w:szCs w:val="24"/>
          <w:lang w:val="en-US" w:eastAsia="zh-CN"/>
        </w:rPr>
        <w:t>30</w:t>
      </w:r>
      <w:r>
        <w:rPr>
          <w:rFonts w:hint="eastAsia" w:hAnsi="宋体"/>
          <w:szCs w:val="24"/>
        </w:rPr>
        <w:t>.1中标人应在中标通知书发出之日起三十日内（具体时间、地点见中标通知书）与招标人签订合同。磋商文件、中标人的响应文件及澄清文件等，均作为合同的附件。合同签订前中标人应向招标人出示履约保证金交纳证明。</w:t>
      </w:r>
    </w:p>
    <w:p w14:paraId="3E8F362D">
      <w:pPr>
        <w:spacing w:line="360" w:lineRule="auto"/>
        <w:ind w:firstLine="549"/>
        <w:rPr>
          <w:rFonts w:hAnsi="宋体"/>
          <w:szCs w:val="24"/>
        </w:rPr>
      </w:pPr>
      <w:r>
        <w:rPr>
          <w:rFonts w:hint="eastAsia" w:hAnsi="宋体"/>
          <w:szCs w:val="24"/>
          <w:lang w:val="en-US" w:eastAsia="zh-CN"/>
        </w:rPr>
        <w:t>30</w:t>
      </w:r>
      <w:r>
        <w:rPr>
          <w:rFonts w:hint="eastAsia" w:hAnsi="宋体"/>
          <w:szCs w:val="24"/>
        </w:rPr>
        <w:t>.2 招标双方必须严格按照磋商文件、响应文件及有关承诺签订合同，不得擅自变更。合同的标的、价款、质量、履行期限等主要条款应当与磋商文件和中标人的响应文件的内容一致，招标人和中标人不得再行订立背离合同实质性内容的其他协议。</w:t>
      </w:r>
    </w:p>
    <w:p w14:paraId="0E381188">
      <w:pPr>
        <w:spacing w:line="360" w:lineRule="auto"/>
        <w:ind w:firstLine="457" w:firstLineChars="218"/>
        <w:rPr>
          <w:rFonts w:hAnsi="宋体"/>
          <w:szCs w:val="24"/>
        </w:rPr>
      </w:pPr>
      <w:r>
        <w:rPr>
          <w:rFonts w:hint="eastAsia" w:hAnsi="宋体"/>
          <w:szCs w:val="24"/>
          <w:lang w:val="en-US" w:eastAsia="zh-CN"/>
        </w:rPr>
        <w:t>30</w:t>
      </w:r>
      <w:r>
        <w:rPr>
          <w:rFonts w:hint="eastAsia" w:hAnsi="宋体"/>
          <w:szCs w:val="24"/>
        </w:rPr>
        <w:t>.3招标人保留以书面形式要求合同的</w:t>
      </w:r>
      <w:r>
        <w:rPr>
          <w:rFonts w:hint="eastAsia" w:hAnsi="宋体"/>
          <w:szCs w:val="24"/>
          <w:lang w:eastAsia="zh-CN"/>
        </w:rPr>
        <w:t>中标单位</w:t>
      </w:r>
      <w:r>
        <w:rPr>
          <w:rFonts w:hint="eastAsia" w:hAnsi="宋体"/>
          <w:szCs w:val="24"/>
        </w:rPr>
        <w:t>对其所投工程/服务/货物的方式、地点及服务细则等作适当调整的权利。</w:t>
      </w:r>
    </w:p>
    <w:p w14:paraId="0E8599AF">
      <w:pPr>
        <w:spacing w:line="360" w:lineRule="auto"/>
        <w:ind w:firstLine="457" w:firstLineChars="218"/>
        <w:rPr>
          <w:rFonts w:hAnsi="宋体"/>
          <w:bCs/>
          <w:szCs w:val="24"/>
        </w:rPr>
      </w:pPr>
      <w:r>
        <w:rPr>
          <w:rFonts w:hint="eastAsia" w:hAnsi="宋体"/>
          <w:szCs w:val="24"/>
          <w:lang w:val="en-US" w:eastAsia="zh-CN"/>
        </w:rPr>
        <w:t>30</w:t>
      </w:r>
      <w:r>
        <w:rPr>
          <w:rFonts w:hint="eastAsia" w:hAnsi="宋体"/>
          <w:szCs w:val="24"/>
        </w:rPr>
        <w:t>.4</w:t>
      </w:r>
      <w:r>
        <w:rPr>
          <w:rFonts w:hint="eastAsia" w:hAnsi="宋体"/>
          <w:bCs/>
          <w:szCs w:val="24"/>
        </w:rPr>
        <w:t>无论基于何种原因，各项本应作拒绝处理的情形即便未被及时发现而使该投标人进入初审、详细评审或其它后续程序，包括已经签约的情形，一旦在任何时间被发现，招标人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0DAF10F9">
      <w:pPr>
        <w:spacing w:line="360" w:lineRule="auto"/>
        <w:ind w:firstLine="549"/>
        <w:rPr>
          <w:rFonts w:hAnsi="宋体"/>
          <w:b/>
          <w:bCs/>
          <w:szCs w:val="24"/>
        </w:rPr>
      </w:pPr>
      <w:r>
        <w:rPr>
          <w:rFonts w:hint="eastAsia" w:hAnsi="宋体"/>
          <w:b/>
          <w:bCs/>
          <w:szCs w:val="24"/>
          <w:lang w:val="en-US" w:eastAsia="zh-CN"/>
        </w:rPr>
        <w:t>31</w:t>
      </w:r>
      <w:r>
        <w:rPr>
          <w:rFonts w:hint="eastAsia" w:hAnsi="宋体"/>
          <w:b/>
          <w:szCs w:val="24"/>
        </w:rPr>
        <w:t>.</w:t>
      </w:r>
      <w:r>
        <w:rPr>
          <w:rFonts w:hint="eastAsia" w:hAnsi="宋体"/>
          <w:b/>
          <w:bCs/>
          <w:szCs w:val="24"/>
        </w:rPr>
        <w:t>异议</w:t>
      </w:r>
    </w:p>
    <w:p w14:paraId="6E0D20AF">
      <w:pPr>
        <w:spacing w:line="360" w:lineRule="auto"/>
        <w:ind w:firstLine="460" w:firstLineChars="218"/>
        <w:rPr>
          <w:rFonts w:hAnsi="宋体"/>
          <w:bCs/>
        </w:rPr>
      </w:pPr>
      <w:r>
        <w:rPr>
          <w:rFonts w:hint="eastAsia" w:hAnsi="宋体"/>
          <w:b/>
          <w:bCs/>
          <w:szCs w:val="24"/>
          <w:lang w:val="en-US" w:eastAsia="zh-CN"/>
        </w:rPr>
        <w:t>31</w:t>
      </w:r>
      <w:r>
        <w:rPr>
          <w:rFonts w:hint="eastAsia" w:hAnsi="宋体"/>
          <w:bCs/>
        </w:rPr>
        <w:t>.1若投标人对评审结果有异议，可在中标公示期内以书面形式在工作时间向招标人提出。</w:t>
      </w:r>
    </w:p>
    <w:p w14:paraId="42939B00">
      <w:pPr>
        <w:spacing w:line="360" w:lineRule="auto"/>
        <w:ind w:firstLine="460" w:firstLineChars="218"/>
        <w:rPr>
          <w:rFonts w:hAnsi="宋体"/>
          <w:bCs/>
        </w:rPr>
      </w:pPr>
      <w:r>
        <w:rPr>
          <w:rFonts w:hint="eastAsia" w:hAnsi="宋体"/>
          <w:b/>
          <w:bCs/>
          <w:szCs w:val="24"/>
        </w:rPr>
        <w:t>3</w:t>
      </w:r>
      <w:r>
        <w:rPr>
          <w:rFonts w:hint="eastAsia" w:hAnsi="宋体"/>
          <w:b/>
          <w:bCs/>
          <w:szCs w:val="24"/>
          <w:lang w:val="en-US" w:eastAsia="zh-CN"/>
        </w:rPr>
        <w:t>1</w:t>
      </w:r>
      <w:r>
        <w:rPr>
          <w:rFonts w:hint="eastAsia" w:hAnsi="宋体"/>
          <w:bCs/>
        </w:rPr>
        <w:t>.2异议应以书面形式实名提出，书面异议材料应当包括以下内容：</w:t>
      </w:r>
    </w:p>
    <w:p w14:paraId="32A76A4C">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.2.1异议人的名称、地址、有效联系方式；</w:t>
      </w:r>
    </w:p>
    <w:p w14:paraId="699893B9">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.2.2项目名称、项目编号、标段号（如有）；</w:t>
      </w:r>
    </w:p>
    <w:p w14:paraId="677EA2FB">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.2.3被异议人名称；</w:t>
      </w:r>
    </w:p>
    <w:p w14:paraId="624A65B7">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.2.4具体的异议事项、基本事实及必要的证明材料；</w:t>
      </w:r>
    </w:p>
    <w:p w14:paraId="4533DC79">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.2.5明确的请求及主张；</w:t>
      </w:r>
    </w:p>
    <w:p w14:paraId="620A50EA">
      <w:pPr>
        <w:spacing w:line="360" w:lineRule="auto"/>
        <w:ind w:firstLine="457" w:firstLineChars="218"/>
        <w:rPr>
          <w:rFonts w:hAnsi="宋体"/>
          <w:bCs/>
        </w:rPr>
      </w:pPr>
      <w:r>
        <w:rPr>
          <w:rFonts w:hint="eastAsia" w:hAnsi="宋体"/>
          <w:bCs/>
        </w:rPr>
        <w:t>3</w:t>
      </w:r>
      <w:r>
        <w:rPr>
          <w:rFonts w:hint="eastAsia" w:hAnsi="宋体"/>
          <w:bCs/>
          <w:lang w:val="en-US" w:eastAsia="zh-CN"/>
        </w:rPr>
        <w:t>1</w:t>
      </w:r>
      <w:r>
        <w:rPr>
          <w:rFonts w:hint="eastAsia" w:hAnsi="宋体"/>
          <w:bCs/>
        </w:rPr>
        <w:t>.2.6提起异议的日期。</w:t>
      </w:r>
    </w:p>
    <w:p w14:paraId="3D7CBD1D">
      <w:pPr>
        <w:spacing w:line="360" w:lineRule="auto"/>
        <w:ind w:firstLine="457" w:firstLineChars="218"/>
        <w:rPr>
          <w:rFonts w:hAnsi="宋体"/>
          <w:bCs/>
        </w:rPr>
      </w:pPr>
      <w:r>
        <w:rPr>
          <w:rFonts w:hint="eastAsia" w:hAnsi="宋体"/>
          <w:bCs/>
        </w:rPr>
        <w:t>异议人为法人或者其他组织的，应当由法定代表人或其委托代理人（需有委托授权书）签字并加盖公章。</w:t>
      </w:r>
    </w:p>
    <w:p w14:paraId="2D20476E">
      <w:pPr>
        <w:spacing w:line="360" w:lineRule="auto"/>
        <w:ind w:firstLine="457" w:firstLineChars="218"/>
        <w:rPr>
          <w:rFonts w:hAnsi="宋体"/>
          <w:bCs/>
          <w:szCs w:val="24"/>
        </w:rPr>
      </w:pPr>
      <w:r>
        <w:rPr>
          <w:rFonts w:hint="eastAsia" w:hAnsi="宋体"/>
          <w:bCs/>
        </w:rPr>
        <w:t>异议人需要修改、补充异议材料的，应当在异议期内提交修改或补充材料。</w:t>
      </w:r>
    </w:p>
    <w:p w14:paraId="0AE5AAC6">
      <w:pPr>
        <w:spacing w:line="360" w:lineRule="auto"/>
        <w:ind w:firstLine="549"/>
        <w:rPr>
          <w:rFonts w:hAnsi="宋体"/>
          <w:b/>
        </w:rPr>
      </w:pPr>
      <w:r>
        <w:rPr>
          <w:rFonts w:hint="eastAsia" w:hAnsi="宋体"/>
          <w:b/>
          <w:lang w:val="en-US" w:eastAsia="zh-CN"/>
        </w:rPr>
        <w:t>32</w:t>
      </w:r>
      <w:r>
        <w:rPr>
          <w:rFonts w:hint="eastAsia" w:hAnsi="宋体"/>
          <w:b/>
        </w:rPr>
        <w:t>.未尽事宜</w:t>
      </w:r>
    </w:p>
    <w:p w14:paraId="0BA45521">
      <w:pPr>
        <w:spacing w:line="360" w:lineRule="auto"/>
        <w:ind w:firstLine="549"/>
        <w:rPr>
          <w:rFonts w:hAnsi="宋体"/>
        </w:rPr>
      </w:pPr>
      <w:r>
        <w:rPr>
          <w:rFonts w:hint="eastAsia" w:hAnsi="宋体"/>
        </w:rPr>
        <w:t>未尽事宜参照《中华人民共和国招标投标法》、《中华人民共和国招标投标法实施条例》及其他有关法律法规的规定执行。</w:t>
      </w:r>
    </w:p>
    <w:p w14:paraId="0EAE4E6E">
      <w:pPr>
        <w:spacing w:line="360" w:lineRule="auto"/>
        <w:ind w:firstLine="549"/>
        <w:rPr>
          <w:rFonts w:hAnsi="宋体"/>
          <w:bCs/>
        </w:rPr>
      </w:pPr>
      <w:r>
        <w:rPr>
          <w:rFonts w:hint="eastAsia" w:hAnsi="宋体"/>
          <w:b/>
          <w:lang w:val="en-US" w:eastAsia="zh-CN"/>
        </w:rPr>
        <w:t>33</w:t>
      </w:r>
      <w:r>
        <w:rPr>
          <w:rFonts w:hint="eastAsia" w:hAnsi="宋体"/>
          <w:b/>
        </w:rPr>
        <w:t>.解释权</w:t>
      </w:r>
    </w:p>
    <w:p w14:paraId="6E537256">
      <w:pPr>
        <w:spacing w:line="360" w:lineRule="auto"/>
        <w:ind w:firstLine="549"/>
        <w:rPr>
          <w:rFonts w:hAnsi="宋体"/>
          <w:bCs/>
          <w:szCs w:val="24"/>
        </w:rPr>
      </w:pPr>
      <w:r>
        <w:rPr>
          <w:rFonts w:hint="eastAsia" w:hAnsi="宋体"/>
          <w:bCs/>
        </w:rPr>
        <w:t>本磋商文件的解释权属于招标人。</w:t>
      </w:r>
    </w:p>
    <w:p w14:paraId="649BD5C0">
      <w:pP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br w:type="page"/>
      </w:r>
    </w:p>
    <w:p w14:paraId="2E154BC5">
      <w:pPr>
        <w:pStyle w:val="3"/>
        <w:numPr>
          <w:ilvl w:val="0"/>
          <w:numId w:val="0"/>
        </w:numPr>
        <w:jc w:val="center"/>
        <w:rPr>
          <w:rFonts w:hint="eastAsia" w:ascii="宋体" w:hAnsi="Times New Roman" w:eastAsia="宋体" w:cs="Times New Roman"/>
          <w:b/>
          <w:bCs/>
          <w:sz w:val="36"/>
          <w:szCs w:val="20"/>
          <w:lang w:val="en-US" w:eastAsia="zh-CN"/>
        </w:rPr>
      </w:pPr>
      <w:r>
        <w:rPr>
          <w:rFonts w:hint="eastAsia" w:ascii="宋体" w:hAnsi="Times New Roman" w:eastAsia="宋体" w:cs="Times New Roman"/>
          <w:b/>
          <w:bCs/>
          <w:sz w:val="36"/>
          <w:szCs w:val="20"/>
          <w:lang w:val="en-US" w:eastAsia="zh-CN"/>
        </w:rPr>
        <w:t>第三章 采购需求</w:t>
      </w:r>
      <w:bookmarkEnd w:id="17"/>
    </w:p>
    <w:p w14:paraId="2517B1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imes New Roman" w:hAnsi="Times New Roman" w:eastAsia="宋体" w:cs="Times New Roman"/>
          <w:b/>
          <w:bCs/>
          <w:kern w:val="2"/>
          <w:sz w:val="24"/>
          <w:szCs w:val="32"/>
          <w:lang w:val="en-US" w:eastAsia="zh-CN" w:bidi="ar-SA"/>
        </w:rPr>
      </w:pPr>
    </w:p>
    <w:p w14:paraId="303E883B">
      <w:pPr>
        <w:numPr>
          <w:ilvl w:val="0"/>
          <w:numId w:val="3"/>
        </w:numPr>
        <w:spacing w:line="640" w:lineRule="exact"/>
        <w:jc w:val="left"/>
        <w:outlineLvl w:val="0"/>
        <w:rPr>
          <w:rFonts w:ascii="宋体"/>
          <w:b/>
          <w:bCs/>
          <w:sz w:val="28"/>
          <w:szCs w:val="28"/>
        </w:rPr>
      </w:pPr>
      <w:bookmarkStart w:id="41" w:name="_Toc63412030"/>
      <w:bookmarkStart w:id="42" w:name="_Toc38879335"/>
      <w:bookmarkStart w:id="43" w:name="_Toc14439"/>
      <w:r>
        <w:rPr>
          <w:rFonts w:hint="eastAsia" w:ascii="宋体" w:hAnsi="宋体" w:cs="宋体"/>
          <w:b/>
          <w:bCs/>
          <w:sz w:val="28"/>
          <w:szCs w:val="28"/>
        </w:rPr>
        <w:t>需求概况</w:t>
      </w:r>
      <w:r>
        <w:rPr>
          <w:rFonts w:ascii="宋体" w:hAnsi="宋体" w:cs="宋体"/>
          <w:b/>
          <w:bCs/>
          <w:sz w:val="28"/>
          <w:szCs w:val="28"/>
        </w:rPr>
        <w:t xml:space="preserve"> </w:t>
      </w:r>
    </w:p>
    <w:tbl>
      <w:tblPr>
        <w:tblStyle w:val="23"/>
        <w:tblW w:w="5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7957"/>
      </w:tblGrid>
      <w:tr w14:paraId="3852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2" w:type="pct"/>
            <w:noWrap w:val="0"/>
            <w:vAlign w:val="center"/>
          </w:tcPr>
          <w:p w14:paraId="4EF1FC05">
            <w:pPr>
              <w:spacing w:line="640" w:lineRule="exact"/>
              <w:jc w:val="center"/>
              <w:rPr>
                <w:rFonts w:ascii="宋体"/>
                <w:b/>
                <w:bCs/>
                <w:sz w:val="24"/>
                <w:szCs w:val="24"/>
              </w:rPr>
            </w:pPr>
            <w:r>
              <w:rPr>
                <w:rFonts w:hint="eastAsia" w:ascii="宋体" w:hAnsi="宋体" w:cs="宋体"/>
                <w:b/>
                <w:bCs/>
                <w:sz w:val="24"/>
                <w:szCs w:val="24"/>
              </w:rPr>
              <w:t>项目名称</w:t>
            </w:r>
          </w:p>
        </w:tc>
        <w:tc>
          <w:tcPr>
            <w:tcW w:w="3737" w:type="pct"/>
            <w:noWrap w:val="0"/>
            <w:vAlign w:val="center"/>
          </w:tcPr>
          <w:p w14:paraId="64D8EDE9">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default" w:ascii="宋体" w:eastAsia="宋体"/>
                <w:b/>
                <w:bCs/>
                <w:sz w:val="24"/>
                <w:szCs w:val="24"/>
                <w:lang w:val="en-US" w:eastAsia="zh-CN"/>
              </w:rPr>
            </w:pPr>
            <w:r>
              <w:rPr>
                <w:rFonts w:hint="eastAsia" w:ascii="宋体" w:hAnsi="宋体" w:cs="宋体"/>
                <w:sz w:val="24"/>
                <w:szCs w:val="24"/>
                <w:lang w:val="en-US" w:eastAsia="zh-CN"/>
              </w:rPr>
              <w:t>合肥庐阳城市资源经营管理有限公司安庆海棠花园小区电梯维保服务</w:t>
            </w:r>
          </w:p>
        </w:tc>
      </w:tr>
      <w:tr w14:paraId="409B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2" w:type="pct"/>
            <w:noWrap w:val="0"/>
            <w:vAlign w:val="center"/>
          </w:tcPr>
          <w:p w14:paraId="75982048">
            <w:pPr>
              <w:spacing w:line="640" w:lineRule="exact"/>
              <w:jc w:val="center"/>
              <w:rPr>
                <w:rFonts w:ascii="宋体"/>
                <w:b/>
                <w:bCs/>
                <w:sz w:val="24"/>
                <w:szCs w:val="24"/>
              </w:rPr>
            </w:pPr>
            <w:r>
              <w:rPr>
                <w:rFonts w:hint="eastAsia" w:ascii="宋体" w:hAnsi="宋体" w:cs="宋体"/>
                <w:b/>
                <w:bCs/>
                <w:sz w:val="24"/>
                <w:szCs w:val="24"/>
              </w:rPr>
              <w:t>项目预算</w:t>
            </w:r>
          </w:p>
        </w:tc>
        <w:tc>
          <w:tcPr>
            <w:tcW w:w="3737" w:type="pct"/>
            <w:noWrap w:val="0"/>
            <w:vAlign w:val="center"/>
          </w:tcPr>
          <w:p w14:paraId="03DEA441">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default" w:ascii="宋体" w:eastAsia="宋体"/>
                <w:sz w:val="24"/>
                <w:szCs w:val="24"/>
                <w:lang w:val="en-US" w:eastAsia="zh-CN"/>
              </w:rPr>
            </w:pPr>
            <w:r>
              <w:rPr>
                <w:rFonts w:hint="eastAsia" w:ascii="仿宋_GB2312" w:hAnsi="仿宋_GB2312" w:eastAsia="仿宋_GB2312" w:cs="仿宋_GB2312"/>
                <w:color w:val="333333"/>
                <w:sz w:val="28"/>
                <w:szCs w:val="28"/>
                <w:shd w:val="clear" w:fill="FFFFFF"/>
                <w:lang w:val="en-US" w:eastAsia="zh-CN"/>
              </w:rPr>
              <w:t>76960元</w:t>
            </w:r>
          </w:p>
        </w:tc>
      </w:tr>
      <w:tr w14:paraId="5FBB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62" w:type="pct"/>
            <w:noWrap w:val="0"/>
            <w:vAlign w:val="center"/>
          </w:tcPr>
          <w:p w14:paraId="4026B795">
            <w:pPr>
              <w:spacing w:line="640" w:lineRule="exact"/>
              <w:jc w:val="center"/>
              <w:rPr>
                <w:rFonts w:ascii="宋体"/>
                <w:b/>
                <w:bCs/>
                <w:sz w:val="24"/>
                <w:szCs w:val="24"/>
              </w:rPr>
            </w:pPr>
            <w:r>
              <w:rPr>
                <w:rFonts w:hint="eastAsia" w:ascii="宋体" w:hAnsi="宋体" w:cs="宋体"/>
                <w:b/>
                <w:bCs/>
                <w:sz w:val="24"/>
                <w:szCs w:val="24"/>
              </w:rPr>
              <w:t>项目概况</w:t>
            </w:r>
          </w:p>
        </w:tc>
        <w:tc>
          <w:tcPr>
            <w:tcW w:w="3737" w:type="pct"/>
            <w:noWrap w:val="0"/>
            <w:vAlign w:val="center"/>
          </w:tcPr>
          <w:p w14:paraId="1FC04E08">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default" w:ascii="宋体"/>
                <w:sz w:val="24"/>
                <w:szCs w:val="24"/>
                <w:lang w:val="en-US"/>
              </w:rPr>
            </w:pPr>
            <w:r>
              <w:rPr>
                <w:rFonts w:hint="eastAsia" w:ascii="宋体" w:hAnsi="宋体" w:eastAsia="宋体" w:cs="宋体"/>
                <w:i w:val="0"/>
                <w:iCs w:val="0"/>
                <w:caps w:val="0"/>
                <w:color w:val="auto"/>
                <w:spacing w:val="0"/>
                <w:sz w:val="24"/>
                <w:szCs w:val="24"/>
                <w:shd w:val="clear" w:fill="auto"/>
                <w:lang w:val="en-US" w:eastAsia="zh-CN"/>
              </w:rPr>
              <w:t>安庆海棠花园小区位于安庆市迎江区独秀大道58号，该项目共计13台帝奥TKJ800型号电梯，具体明细见附件。</w:t>
            </w:r>
          </w:p>
        </w:tc>
      </w:tr>
      <w:tr w14:paraId="20B2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62" w:type="pct"/>
            <w:noWrap w:val="0"/>
            <w:vAlign w:val="center"/>
          </w:tcPr>
          <w:p w14:paraId="1E42BF23">
            <w:pPr>
              <w:spacing w:line="640" w:lineRule="exact"/>
              <w:jc w:val="center"/>
              <w:rPr>
                <w:rFonts w:ascii="宋体"/>
                <w:b/>
                <w:bCs/>
                <w:sz w:val="24"/>
                <w:szCs w:val="24"/>
              </w:rPr>
            </w:pPr>
            <w:r>
              <w:rPr>
                <w:rFonts w:hint="eastAsia" w:ascii="宋体" w:hAnsi="宋体" w:cs="宋体"/>
                <w:b/>
                <w:bCs/>
                <w:sz w:val="24"/>
                <w:szCs w:val="24"/>
              </w:rPr>
              <w:t>项目联系人</w:t>
            </w:r>
          </w:p>
        </w:tc>
        <w:tc>
          <w:tcPr>
            <w:tcW w:w="3737" w:type="pct"/>
            <w:noWrap w:val="0"/>
            <w:vAlign w:val="center"/>
          </w:tcPr>
          <w:p w14:paraId="3A914B35">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default" w:ascii="宋体" w:eastAsia="宋体"/>
                <w:sz w:val="24"/>
                <w:szCs w:val="24"/>
                <w:lang w:val="en-US" w:eastAsia="zh-CN"/>
              </w:rPr>
            </w:pPr>
            <w:r>
              <w:rPr>
                <w:rFonts w:hint="eastAsia" w:ascii="宋体"/>
                <w:sz w:val="24"/>
                <w:szCs w:val="24"/>
                <w:lang w:val="en-US" w:eastAsia="zh-CN"/>
              </w:rPr>
              <w:t>代健 15655113027</w:t>
            </w:r>
          </w:p>
        </w:tc>
      </w:tr>
      <w:tr w14:paraId="2D03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62" w:type="pct"/>
            <w:noWrap w:val="0"/>
            <w:vAlign w:val="center"/>
          </w:tcPr>
          <w:p w14:paraId="67AAA076">
            <w:pPr>
              <w:spacing w:line="640" w:lineRule="exact"/>
              <w:jc w:val="center"/>
              <w:rPr>
                <w:rFonts w:ascii="宋体"/>
                <w:b/>
                <w:bCs/>
                <w:sz w:val="24"/>
                <w:szCs w:val="24"/>
              </w:rPr>
            </w:pPr>
            <w:r>
              <w:rPr>
                <w:rFonts w:hint="eastAsia" w:ascii="宋体" w:hAnsi="宋体" w:cs="宋体"/>
                <w:b/>
                <w:bCs/>
                <w:sz w:val="24"/>
                <w:szCs w:val="24"/>
              </w:rPr>
              <w:t>支持中小企业发展</w:t>
            </w:r>
          </w:p>
          <w:p w14:paraId="678D20B8">
            <w:pPr>
              <w:spacing w:line="640" w:lineRule="exact"/>
              <w:jc w:val="center"/>
              <w:rPr>
                <w:rFonts w:ascii="宋体"/>
                <w:b/>
                <w:bCs/>
                <w:sz w:val="24"/>
                <w:szCs w:val="24"/>
              </w:rPr>
            </w:pPr>
            <w:r>
              <w:rPr>
                <w:rFonts w:hint="eastAsia" w:ascii="宋体" w:hAnsi="宋体" w:cs="宋体"/>
                <w:b/>
                <w:bCs/>
                <w:sz w:val="24"/>
                <w:szCs w:val="24"/>
              </w:rPr>
              <w:t>政策措施</w:t>
            </w:r>
          </w:p>
        </w:tc>
        <w:tc>
          <w:tcPr>
            <w:tcW w:w="3737" w:type="pct"/>
            <w:noWrap w:val="0"/>
            <w:vAlign w:val="center"/>
          </w:tcPr>
          <w:p w14:paraId="5037121E">
            <w:pPr>
              <w:keepNext w:val="0"/>
              <w:keepLines w:val="0"/>
              <w:pageBreakBefore w:val="0"/>
              <w:widowControl w:val="0"/>
              <w:numPr>
                <w:ilvl w:val="0"/>
                <w:numId w:val="4"/>
              </w:numPr>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sz w:val="24"/>
                <w:szCs w:val="24"/>
              </w:rPr>
              <w:t>本项目专门面向中小企业（含监狱企业）。</w:t>
            </w:r>
            <w:r>
              <w:rPr>
                <w:rFonts w:ascii="宋体" w:hAnsi="宋体" w:cs="宋体"/>
                <w:sz w:val="24"/>
                <w:szCs w:val="24"/>
              </w:rPr>
              <w:t xml:space="preserve">  </w:t>
            </w:r>
            <w:r>
              <w:rPr>
                <w:rFonts w:hint="eastAsia" w:ascii="宋体" w:hAnsi="宋体" w:cs="宋体"/>
                <w:sz w:val="24"/>
                <w:szCs w:val="24"/>
              </w:rPr>
              <w:t>是（</w:t>
            </w:r>
            <w:r>
              <w:rPr>
                <w:rFonts w:ascii="宋体" w:hAnsi="宋体" w:cs="宋体"/>
                <w:sz w:val="24"/>
                <w:szCs w:val="24"/>
              </w:rPr>
              <w:t xml:space="preserve"> </w:t>
            </w:r>
            <w:r>
              <w:rPr>
                <w:rFonts w:hint="eastAsia" w:ascii="宋体" w:hAnsi="宋体" w:cs="宋体"/>
                <w:sz w:val="24"/>
                <w:szCs w:val="24"/>
              </w:rPr>
              <w:t>）否（</w:t>
            </w:r>
            <w:r>
              <w:rPr>
                <w:rFonts w:hint="eastAsia" w:ascii="宋体" w:hAnsi="宋体" w:cs="宋体"/>
                <w:sz w:val="24"/>
                <w:szCs w:val="24"/>
                <w:lang w:val="en-US" w:eastAsia="zh-CN"/>
              </w:rPr>
              <w:t>√</w:t>
            </w:r>
            <w:r>
              <w:rPr>
                <w:rFonts w:ascii="宋体" w:hAnsi="宋体" w:cs="宋体"/>
                <w:sz w:val="24"/>
                <w:szCs w:val="24"/>
              </w:rPr>
              <w:t xml:space="preserve">  </w:t>
            </w:r>
            <w:r>
              <w:rPr>
                <w:rFonts w:hint="eastAsia" w:ascii="宋体" w:hAnsi="宋体" w:cs="宋体"/>
                <w:sz w:val="24"/>
                <w:szCs w:val="24"/>
              </w:rPr>
              <w:t>）</w:t>
            </w:r>
          </w:p>
          <w:p w14:paraId="587180A7">
            <w:pPr>
              <w:keepNext w:val="0"/>
              <w:keepLines w:val="0"/>
              <w:pageBreakBefore w:val="0"/>
              <w:widowControl w:val="0"/>
              <w:numPr>
                <w:ilvl w:val="0"/>
                <w:numId w:val="4"/>
              </w:numPr>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sz w:val="24"/>
                <w:szCs w:val="24"/>
              </w:rPr>
              <w:t>本项目非专门面向中小企业，仅评审时予以价格扣除。是（</w:t>
            </w:r>
            <w:r>
              <w:rPr>
                <w:rFonts w:ascii="宋体" w:hAnsi="宋体" w:cs="宋体"/>
                <w:sz w:val="24"/>
                <w:szCs w:val="24"/>
              </w:rPr>
              <w:t xml:space="preserve"> </w:t>
            </w:r>
            <w:r>
              <w:rPr>
                <w:rFonts w:hint="eastAsia" w:ascii="宋体" w:hAnsi="宋体" w:cs="宋体"/>
                <w:sz w:val="24"/>
                <w:szCs w:val="24"/>
              </w:rPr>
              <w:t>）否（</w:t>
            </w:r>
            <w:r>
              <w:rPr>
                <w:rFonts w:ascii="宋体" w:hAnsi="宋体" w:cs="宋体"/>
                <w:sz w:val="24"/>
                <w:szCs w:val="24"/>
              </w:rPr>
              <w:t xml:space="preserve">  </w:t>
            </w:r>
            <w:r>
              <w:rPr>
                <w:rFonts w:hint="eastAsia" w:ascii="宋体" w:hAnsi="宋体" w:cs="宋体"/>
                <w:sz w:val="24"/>
                <w:szCs w:val="24"/>
              </w:rPr>
              <w:t>）</w:t>
            </w:r>
          </w:p>
        </w:tc>
      </w:tr>
      <w:tr w14:paraId="595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262" w:type="pct"/>
            <w:vMerge w:val="restart"/>
            <w:noWrap w:val="0"/>
            <w:vAlign w:val="center"/>
          </w:tcPr>
          <w:p w14:paraId="4234A0DE">
            <w:pPr>
              <w:spacing w:line="640" w:lineRule="exact"/>
              <w:jc w:val="center"/>
              <w:rPr>
                <w:rFonts w:ascii="宋体"/>
                <w:b/>
                <w:bCs/>
                <w:sz w:val="24"/>
                <w:szCs w:val="24"/>
              </w:rPr>
            </w:pPr>
            <w:r>
              <w:rPr>
                <w:rFonts w:hint="eastAsia" w:ascii="宋体" w:hAnsi="宋体" w:cs="宋体"/>
                <w:b/>
                <w:bCs/>
                <w:sz w:val="24"/>
                <w:szCs w:val="24"/>
              </w:rPr>
              <w:t>项目是否分包</w:t>
            </w:r>
          </w:p>
          <w:p w14:paraId="3608D6E6">
            <w:pPr>
              <w:spacing w:line="640" w:lineRule="exact"/>
              <w:jc w:val="center"/>
              <w:rPr>
                <w:rFonts w:ascii="宋体"/>
                <w:b/>
                <w:bCs/>
                <w:sz w:val="24"/>
                <w:szCs w:val="24"/>
              </w:rPr>
            </w:pPr>
            <w:r>
              <w:rPr>
                <w:rFonts w:hint="eastAsia" w:ascii="宋体" w:hAnsi="宋体" w:cs="宋体"/>
                <w:b/>
                <w:bCs/>
                <w:sz w:val="24"/>
                <w:szCs w:val="24"/>
              </w:rPr>
              <w:t>及分包预算</w:t>
            </w:r>
          </w:p>
        </w:tc>
        <w:tc>
          <w:tcPr>
            <w:tcW w:w="3737" w:type="pct"/>
            <w:noWrap w:val="0"/>
            <w:vAlign w:val="center"/>
          </w:tcPr>
          <w:p w14:paraId="522CBB86">
            <w:pPr>
              <w:keepNext w:val="0"/>
              <w:keepLines w:val="0"/>
              <w:pageBreakBefore w:val="0"/>
              <w:widowControl w:val="0"/>
              <w:kinsoku/>
              <w:wordWrap/>
              <w:overflowPunct/>
              <w:topLinePunct w:val="0"/>
              <w:autoSpaceDE w:val="0"/>
              <w:autoSpaceDN w:val="0"/>
              <w:bidi w:val="0"/>
              <w:adjustRightInd w:val="0"/>
              <w:snapToGrid/>
              <w:spacing w:line="480" w:lineRule="exact"/>
              <w:rPr>
                <w:rFonts w:ascii="宋体"/>
                <w:sz w:val="24"/>
                <w:szCs w:val="24"/>
              </w:rPr>
            </w:pPr>
            <w:r>
              <w:rPr>
                <w:rFonts w:hint="eastAsia" w:ascii="宋体" w:hAnsi="宋体" w:cs="宋体"/>
                <w:sz w:val="24"/>
                <w:szCs w:val="24"/>
              </w:rPr>
              <w:t>是（</w:t>
            </w:r>
            <w:r>
              <w:rPr>
                <w:rFonts w:ascii="宋体" w:hAnsi="宋体" w:cs="宋体"/>
                <w:sz w:val="24"/>
                <w:szCs w:val="24"/>
              </w:rPr>
              <w:t xml:space="preserve">  </w:t>
            </w:r>
            <w:r>
              <w:rPr>
                <w:rFonts w:hint="eastAsia" w:ascii="宋体" w:hAnsi="宋体" w:cs="宋体"/>
                <w:sz w:val="24"/>
                <w:szCs w:val="24"/>
              </w:rPr>
              <w:t>）</w:t>
            </w:r>
          </w:p>
          <w:p w14:paraId="34216432">
            <w:pPr>
              <w:keepNext w:val="0"/>
              <w:keepLines w:val="0"/>
              <w:pageBreakBefore w:val="0"/>
              <w:widowControl w:val="0"/>
              <w:kinsoku/>
              <w:wordWrap/>
              <w:overflowPunct/>
              <w:topLinePunct w:val="0"/>
              <w:autoSpaceDE w:val="0"/>
              <w:autoSpaceDN w:val="0"/>
              <w:bidi w:val="0"/>
              <w:adjustRightInd w:val="0"/>
              <w:snapToGrid/>
              <w:spacing w:line="480" w:lineRule="exact"/>
              <w:rPr>
                <w:rFonts w:ascii="宋体"/>
                <w:sz w:val="24"/>
                <w:szCs w:val="24"/>
              </w:rPr>
            </w:pPr>
            <w:r>
              <w:rPr>
                <w:rFonts w:hint="eastAsia" w:ascii="宋体" w:hAnsi="宋体" w:cs="宋体"/>
                <w:sz w:val="24"/>
                <w:szCs w:val="24"/>
              </w:rPr>
              <w:t>分为</w:t>
            </w:r>
            <w:r>
              <w:rPr>
                <w:rFonts w:hint="eastAsia" w:ascii="宋体" w:hAnsi="宋体" w:cs="宋体"/>
                <w:sz w:val="24"/>
                <w:szCs w:val="24"/>
                <w:lang w:val="en-US" w:eastAsia="zh-CN"/>
              </w:rPr>
              <w:t xml:space="preserve">  </w:t>
            </w:r>
            <w:r>
              <w:rPr>
                <w:rFonts w:hint="eastAsia" w:ascii="宋体" w:hAnsi="宋体" w:cs="宋体"/>
                <w:sz w:val="24"/>
                <w:szCs w:val="24"/>
              </w:rPr>
              <w:t>个包，第</w:t>
            </w:r>
            <w:r>
              <w:rPr>
                <w:rFonts w:ascii="宋体" w:hAnsi="宋体" w:cs="宋体"/>
                <w:sz w:val="24"/>
                <w:szCs w:val="24"/>
              </w:rPr>
              <w:t>1</w:t>
            </w:r>
            <w:r>
              <w:rPr>
                <w:rFonts w:hint="eastAsia" w:ascii="宋体" w:hAnsi="宋体" w:cs="宋体"/>
                <w:sz w:val="24"/>
                <w:szCs w:val="24"/>
              </w:rPr>
              <w:t>包</w:t>
            </w:r>
            <w:r>
              <w:rPr>
                <w:rFonts w:ascii="宋体" w:hAnsi="宋体" w:cs="宋体"/>
                <w:sz w:val="24"/>
                <w:szCs w:val="24"/>
              </w:rPr>
              <w:t>:</w:t>
            </w:r>
            <w:r>
              <w:rPr>
                <w:rFonts w:hint="eastAsia" w:ascii="宋体" w:hAnsi="宋体" w:cs="宋体"/>
                <w:sz w:val="24"/>
                <w:szCs w:val="24"/>
              </w:rPr>
              <w:t>分包名称，</w:t>
            </w:r>
            <w:r>
              <w:rPr>
                <w:rFonts w:ascii="宋体" w:hAnsi="宋体" w:cs="宋体"/>
                <w:sz w:val="24"/>
                <w:szCs w:val="24"/>
              </w:rPr>
              <w:t xml:space="preserve">   </w:t>
            </w:r>
            <w:r>
              <w:rPr>
                <w:rFonts w:hint="eastAsia" w:ascii="宋体" w:hAnsi="宋体" w:cs="宋体"/>
                <w:sz w:val="24"/>
                <w:szCs w:val="24"/>
              </w:rPr>
              <w:t>万元，第</w:t>
            </w:r>
            <w:r>
              <w:rPr>
                <w:rFonts w:ascii="宋体" w:hAnsi="宋体" w:cs="宋体"/>
                <w:sz w:val="24"/>
                <w:szCs w:val="24"/>
              </w:rPr>
              <w:t>2</w:t>
            </w:r>
            <w:r>
              <w:rPr>
                <w:rFonts w:hint="eastAsia" w:ascii="宋体" w:hAnsi="宋体" w:cs="宋体"/>
                <w:sz w:val="24"/>
                <w:szCs w:val="24"/>
              </w:rPr>
              <w:t>包</w:t>
            </w:r>
            <w:r>
              <w:rPr>
                <w:rFonts w:ascii="宋体" w:hAnsi="宋体" w:cs="宋体"/>
                <w:sz w:val="24"/>
                <w:szCs w:val="24"/>
              </w:rPr>
              <w:t>:</w:t>
            </w:r>
            <w:r>
              <w:rPr>
                <w:rFonts w:hint="eastAsia" w:ascii="宋体" w:hAnsi="宋体" w:cs="宋体"/>
                <w:sz w:val="24"/>
                <w:szCs w:val="24"/>
              </w:rPr>
              <w:t>分包名称，</w:t>
            </w:r>
            <w:r>
              <w:rPr>
                <w:rFonts w:ascii="宋体" w:hAnsi="宋体" w:cs="宋体"/>
                <w:sz w:val="24"/>
                <w:szCs w:val="24"/>
              </w:rPr>
              <w:t xml:space="preserve">   </w:t>
            </w:r>
            <w:r>
              <w:rPr>
                <w:rFonts w:hint="eastAsia" w:ascii="宋体" w:hAnsi="宋体" w:cs="宋体"/>
                <w:sz w:val="24"/>
                <w:szCs w:val="24"/>
              </w:rPr>
              <w:t>万元，第</w:t>
            </w:r>
            <w:r>
              <w:rPr>
                <w:rFonts w:ascii="宋体" w:hAnsi="宋体" w:cs="宋体"/>
                <w:sz w:val="24"/>
                <w:szCs w:val="24"/>
              </w:rPr>
              <w:t>3</w:t>
            </w:r>
            <w:r>
              <w:rPr>
                <w:rFonts w:hint="eastAsia" w:ascii="宋体" w:hAnsi="宋体" w:cs="宋体"/>
                <w:sz w:val="24"/>
                <w:szCs w:val="24"/>
              </w:rPr>
              <w:t>包</w:t>
            </w:r>
            <w:r>
              <w:rPr>
                <w:rFonts w:ascii="宋体" w:hAnsi="宋体" w:cs="宋体"/>
                <w:sz w:val="24"/>
                <w:szCs w:val="24"/>
              </w:rPr>
              <w:t>:</w:t>
            </w:r>
            <w:r>
              <w:rPr>
                <w:rFonts w:hint="eastAsia" w:ascii="宋体" w:hAnsi="宋体" w:cs="宋体"/>
                <w:sz w:val="24"/>
                <w:szCs w:val="24"/>
              </w:rPr>
              <w:t>分包名称，</w:t>
            </w:r>
            <w:r>
              <w:rPr>
                <w:rFonts w:ascii="宋体" w:hAnsi="宋体" w:cs="宋体"/>
                <w:sz w:val="24"/>
                <w:szCs w:val="24"/>
              </w:rPr>
              <w:t xml:space="preserve">   </w:t>
            </w:r>
            <w:r>
              <w:rPr>
                <w:rFonts w:hint="eastAsia" w:ascii="宋体" w:hAnsi="宋体" w:cs="宋体"/>
                <w:sz w:val="24"/>
                <w:szCs w:val="24"/>
              </w:rPr>
              <w:t>万元…………</w:t>
            </w:r>
          </w:p>
        </w:tc>
      </w:tr>
      <w:tr w14:paraId="1990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noWrap w:val="0"/>
            <w:vAlign w:val="center"/>
          </w:tcPr>
          <w:p w14:paraId="0A5D10E8">
            <w:pPr>
              <w:widowControl/>
              <w:spacing w:line="640" w:lineRule="exact"/>
              <w:jc w:val="left"/>
              <w:rPr>
                <w:rFonts w:ascii="宋体"/>
                <w:b/>
                <w:bCs/>
                <w:sz w:val="24"/>
                <w:szCs w:val="24"/>
              </w:rPr>
            </w:pPr>
          </w:p>
        </w:tc>
        <w:tc>
          <w:tcPr>
            <w:tcW w:w="3737" w:type="pct"/>
            <w:noWrap w:val="0"/>
            <w:vAlign w:val="center"/>
          </w:tcPr>
          <w:p w14:paraId="45E7D8B6">
            <w:pPr>
              <w:keepNext w:val="0"/>
              <w:keepLines w:val="0"/>
              <w:pageBreakBefore w:val="0"/>
              <w:widowControl w:val="0"/>
              <w:kinsoku/>
              <w:wordWrap/>
              <w:overflowPunct/>
              <w:topLinePunct w:val="0"/>
              <w:autoSpaceDE w:val="0"/>
              <w:autoSpaceDN w:val="0"/>
              <w:bidi w:val="0"/>
              <w:adjustRightInd w:val="0"/>
              <w:snapToGrid/>
              <w:spacing w:line="480" w:lineRule="exact"/>
              <w:rPr>
                <w:rFonts w:ascii="宋体"/>
                <w:sz w:val="24"/>
                <w:szCs w:val="24"/>
              </w:rPr>
            </w:pPr>
            <w:r>
              <w:rPr>
                <w:rFonts w:hint="eastAsia" w:ascii="宋体" w:hAnsi="宋体" w:cs="宋体"/>
                <w:sz w:val="24"/>
                <w:szCs w:val="24"/>
              </w:rPr>
              <w:t>否（</w:t>
            </w:r>
            <w:r>
              <w:rPr>
                <w:rFonts w:ascii="宋体" w:hAnsi="宋体" w:cs="宋体"/>
                <w:sz w:val="24"/>
                <w:szCs w:val="24"/>
              </w:rPr>
              <w:t xml:space="preserve"> </w:t>
            </w:r>
            <w:r>
              <w:rPr>
                <w:rFonts w:hint="eastAsia" w:ascii="宋体" w:hAnsi="宋体" w:cs="宋体"/>
                <w:sz w:val="24"/>
                <w:szCs w:val="24"/>
                <w:lang w:val="en-US" w:eastAsia="zh-CN"/>
              </w:rPr>
              <w:t>√</w:t>
            </w:r>
            <w:r>
              <w:rPr>
                <w:rFonts w:ascii="宋体" w:hAnsi="宋体" w:cs="宋体"/>
                <w:sz w:val="24"/>
                <w:szCs w:val="24"/>
              </w:rPr>
              <w:t xml:space="preserve">  </w:t>
            </w:r>
            <w:r>
              <w:rPr>
                <w:rFonts w:hint="eastAsia" w:ascii="宋体" w:hAnsi="宋体" w:cs="宋体"/>
                <w:sz w:val="24"/>
                <w:szCs w:val="24"/>
              </w:rPr>
              <w:t>）</w:t>
            </w:r>
          </w:p>
        </w:tc>
      </w:tr>
      <w:tr w14:paraId="674A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62" w:type="pct"/>
            <w:noWrap w:val="0"/>
            <w:vAlign w:val="center"/>
          </w:tcPr>
          <w:p w14:paraId="6DA2AB62">
            <w:pPr>
              <w:spacing w:line="640" w:lineRule="exact"/>
              <w:jc w:val="center"/>
              <w:rPr>
                <w:rFonts w:hint="eastAsia" w:ascii="宋体" w:hAnsi="宋体" w:eastAsia="宋体" w:cs="宋体"/>
                <w:b/>
                <w:bCs/>
                <w:sz w:val="24"/>
                <w:szCs w:val="24"/>
                <w:lang w:val="en-US" w:eastAsia="zh-CN"/>
              </w:rPr>
            </w:pPr>
            <w:r>
              <w:rPr>
                <w:rFonts w:hint="eastAsia" w:ascii="宋体" w:hAnsi="宋体" w:cs="宋体"/>
                <w:b/>
                <w:bCs/>
                <w:sz w:val="24"/>
                <w:szCs w:val="24"/>
              </w:rPr>
              <w:t>投标人资格</w:t>
            </w:r>
            <w:r>
              <w:rPr>
                <w:rFonts w:hint="eastAsia" w:ascii="宋体" w:hAnsi="宋体" w:cs="宋体"/>
                <w:b/>
                <w:bCs/>
                <w:sz w:val="24"/>
                <w:szCs w:val="24"/>
                <w:lang w:val="en-US" w:eastAsia="zh-CN"/>
              </w:rPr>
              <w:t>要求</w:t>
            </w:r>
          </w:p>
          <w:p w14:paraId="4900A47D">
            <w:pPr>
              <w:pStyle w:val="21"/>
              <w:tabs>
                <w:tab w:val="left" w:pos="1418"/>
              </w:tabs>
            </w:pPr>
          </w:p>
        </w:tc>
        <w:tc>
          <w:tcPr>
            <w:tcW w:w="3737" w:type="pct"/>
            <w:noWrap w:val="0"/>
            <w:vAlign w:val="center"/>
          </w:tcPr>
          <w:p w14:paraId="57539210">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1、投标人具有有效的营业执照，能够独立承担民事责任的能力；</w:t>
            </w:r>
          </w:p>
          <w:p w14:paraId="1F5583C5">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2、本项目不接受联合体投标；</w:t>
            </w:r>
          </w:p>
          <w:p w14:paraId="1AE1E627">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3.符合下列情形之一：</w:t>
            </w:r>
          </w:p>
          <w:p w14:paraId="3881D87C">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1）投标人未被人民法院列入失信被执行人的；</w:t>
            </w:r>
          </w:p>
          <w:p w14:paraId="1A8699F8">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2）投标人或其法定代表人或拟派项目经理（项目负责人）未被人民检察院列入行贿犯罪档案的；</w:t>
            </w:r>
          </w:p>
          <w:p w14:paraId="30E32C05">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3）投标人未被工商行政管理部门列入企业经营异常名录的；</w:t>
            </w:r>
          </w:p>
          <w:p w14:paraId="11A00893">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4）投标人未被税务部门列入重大税收违法案件当事人名单的。</w:t>
            </w:r>
          </w:p>
          <w:p w14:paraId="0CBCDFB7">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4.资质要求：投标人须具有以下资质之一:</w:t>
            </w:r>
          </w:p>
          <w:p w14:paraId="1962C6F7">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（1）有效的《中华人民共和国特种设备生产许可证》，许可项目包括电梯安装（含修理），许可子项目须同时包含以下内容：1）曳引驱动乘客电梯、2）自动扶梯；</w:t>
            </w:r>
          </w:p>
          <w:p w14:paraId="0FBEAC1F">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eastAsia="宋体" w:cs="宋体"/>
                <w:sz w:val="24"/>
                <w:szCs w:val="24"/>
                <w:lang w:val="en-US" w:eastAsia="zh-CN"/>
              </w:rPr>
              <w:t xml:space="preserve"> （2）有效的《中华人民共和国特种设备生产许可证》，许可项目包括电梯制造（含修理），许可子项目须同时包含以下内容：1）曳引驱动乘客电梯、2）自动扶梯。</w:t>
            </w:r>
          </w:p>
        </w:tc>
      </w:tr>
      <w:tr w14:paraId="251E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62" w:type="pct"/>
            <w:noWrap w:val="0"/>
            <w:vAlign w:val="center"/>
          </w:tcPr>
          <w:p w14:paraId="5E12CE3D">
            <w:pPr>
              <w:spacing w:line="640" w:lineRule="exact"/>
              <w:jc w:val="center"/>
              <w:rPr>
                <w:rFonts w:ascii="宋体"/>
                <w:b/>
                <w:bCs/>
                <w:sz w:val="24"/>
                <w:szCs w:val="24"/>
              </w:rPr>
            </w:pPr>
            <w:r>
              <w:rPr>
                <w:rFonts w:hint="eastAsia" w:ascii="宋体" w:hAnsi="宋体" w:cs="宋体"/>
                <w:b/>
                <w:bCs/>
                <w:sz w:val="24"/>
                <w:szCs w:val="24"/>
              </w:rPr>
              <w:t>付款方式</w:t>
            </w:r>
          </w:p>
        </w:tc>
        <w:tc>
          <w:tcPr>
            <w:tcW w:w="3737" w:type="pct"/>
            <w:noWrap w:val="0"/>
            <w:vAlign w:val="center"/>
          </w:tcPr>
          <w:p w14:paraId="3E0A462F">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hint="default" w:ascii="宋体" w:eastAsia="宋体"/>
                <w:sz w:val="24"/>
                <w:szCs w:val="24"/>
                <w:lang w:val="en-US" w:eastAsia="zh-Hans"/>
              </w:rPr>
            </w:pPr>
            <w:r>
              <w:rPr>
                <w:rFonts w:hint="eastAsia" w:ascii="宋体"/>
                <w:sz w:val="24"/>
                <w:szCs w:val="24"/>
                <w:lang w:val="en-US" w:eastAsia="zh-Hans"/>
              </w:rPr>
              <w:t>按季度支付</w:t>
            </w:r>
          </w:p>
        </w:tc>
      </w:tr>
      <w:tr w14:paraId="73C7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2" w:type="pct"/>
            <w:noWrap w:val="0"/>
            <w:vAlign w:val="center"/>
          </w:tcPr>
          <w:p w14:paraId="05F0FB3D">
            <w:pPr>
              <w:spacing w:line="640" w:lineRule="exact"/>
              <w:jc w:val="center"/>
              <w:rPr>
                <w:rFonts w:hint="default" w:ascii="宋体" w:eastAsia="宋体"/>
                <w:b/>
                <w:bCs/>
                <w:sz w:val="24"/>
                <w:szCs w:val="24"/>
                <w:lang w:val="en-US" w:eastAsia="zh-CN"/>
              </w:rPr>
            </w:pPr>
            <w:r>
              <w:rPr>
                <w:rFonts w:hint="eastAsia" w:ascii="宋体" w:hAnsi="宋体" w:cs="宋体"/>
                <w:b/>
                <w:bCs/>
                <w:sz w:val="24"/>
                <w:szCs w:val="24"/>
              </w:rPr>
              <w:t>服务地点</w:t>
            </w:r>
            <w:r>
              <w:rPr>
                <w:rFonts w:hint="eastAsia" w:ascii="宋体" w:hAnsi="宋体" w:cs="宋体"/>
                <w:b/>
                <w:bCs/>
                <w:sz w:val="24"/>
                <w:szCs w:val="24"/>
                <w:lang w:val="en-US" w:eastAsia="zh-CN"/>
              </w:rPr>
              <w:t>及范围</w:t>
            </w:r>
          </w:p>
        </w:tc>
        <w:tc>
          <w:tcPr>
            <w:tcW w:w="3737" w:type="pct"/>
            <w:noWrap w:val="0"/>
            <w:vAlign w:val="center"/>
          </w:tcPr>
          <w:p w14:paraId="36125920">
            <w:pPr>
              <w:keepNext w:val="0"/>
              <w:keepLines w:val="0"/>
              <w:pageBreakBefore w:val="0"/>
              <w:widowControl w:val="0"/>
              <w:kinsoku/>
              <w:wordWrap/>
              <w:overflowPunct/>
              <w:topLinePunct w:val="0"/>
              <w:autoSpaceDE/>
              <w:autoSpaceDN/>
              <w:bidi w:val="0"/>
              <w:adjustRightInd/>
              <w:snapToGrid/>
              <w:spacing w:line="480" w:lineRule="exact"/>
              <w:textAlignment w:val="baseline"/>
              <w:rPr>
                <w:rFonts w:hint="default" w:ascii="宋体" w:eastAsia="宋体"/>
                <w:sz w:val="24"/>
                <w:szCs w:val="24"/>
                <w:lang w:val="en-US" w:eastAsia="zh-CN"/>
              </w:rPr>
            </w:pPr>
            <w:r>
              <w:rPr>
                <w:rFonts w:hint="eastAsia" w:ascii="宋体"/>
                <w:sz w:val="24"/>
                <w:szCs w:val="24"/>
                <w:lang w:val="en-US" w:eastAsia="zh-CN"/>
              </w:rPr>
              <w:t>安庆市海棠花园小区</w:t>
            </w:r>
          </w:p>
        </w:tc>
      </w:tr>
      <w:tr w14:paraId="2899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62" w:type="pct"/>
            <w:noWrap w:val="0"/>
            <w:vAlign w:val="center"/>
          </w:tcPr>
          <w:p w14:paraId="13F83880">
            <w:pPr>
              <w:spacing w:line="640" w:lineRule="exact"/>
              <w:jc w:val="center"/>
              <w:rPr>
                <w:rFonts w:ascii="宋体"/>
                <w:b/>
                <w:bCs/>
                <w:sz w:val="24"/>
                <w:szCs w:val="24"/>
              </w:rPr>
            </w:pPr>
            <w:r>
              <w:rPr>
                <w:rFonts w:hint="eastAsia" w:ascii="宋体" w:hAnsi="宋体" w:cs="宋体"/>
                <w:b/>
                <w:bCs/>
                <w:sz w:val="24"/>
                <w:szCs w:val="24"/>
              </w:rPr>
              <w:t>服务期限、工期</w:t>
            </w:r>
          </w:p>
        </w:tc>
        <w:tc>
          <w:tcPr>
            <w:tcW w:w="3737" w:type="pct"/>
            <w:noWrap w:val="0"/>
            <w:vAlign w:val="center"/>
          </w:tcPr>
          <w:p w14:paraId="6FE02987">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eastAsia="宋体" w:cs="宋体"/>
                <w:sz w:val="24"/>
                <w:szCs w:val="24"/>
                <w:lang w:val="en-US" w:eastAsia="zh-CN"/>
              </w:rPr>
              <w:t>自合同生效之日起一年，合同到期前，保持总价不变，经双方协商无异议，可续签下一年合同，最多申报2次。</w:t>
            </w:r>
          </w:p>
        </w:tc>
      </w:tr>
      <w:tr w14:paraId="5DA6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62" w:type="pct"/>
            <w:noWrap w:val="0"/>
            <w:vAlign w:val="center"/>
          </w:tcPr>
          <w:p w14:paraId="28289902">
            <w:pPr>
              <w:spacing w:line="640" w:lineRule="exact"/>
              <w:jc w:val="center"/>
              <w:rPr>
                <w:rFonts w:ascii="宋体"/>
                <w:b/>
                <w:bCs/>
                <w:sz w:val="24"/>
                <w:szCs w:val="24"/>
              </w:rPr>
            </w:pPr>
            <w:r>
              <w:rPr>
                <w:rFonts w:hint="eastAsia" w:ascii="宋体" w:hAnsi="宋体" w:cs="宋体"/>
                <w:b/>
                <w:bCs/>
                <w:sz w:val="24"/>
                <w:szCs w:val="24"/>
              </w:rPr>
              <w:t>采购标的</w:t>
            </w:r>
          </w:p>
        </w:tc>
        <w:tc>
          <w:tcPr>
            <w:tcW w:w="3737" w:type="pct"/>
            <w:noWrap w:val="0"/>
            <w:vAlign w:val="center"/>
          </w:tcPr>
          <w:p w14:paraId="66862001">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sz w:val="24"/>
                <w:szCs w:val="24"/>
              </w:rPr>
              <w:t>详见附件采购需求格式及填写要求。</w:t>
            </w:r>
          </w:p>
          <w:p w14:paraId="4199E75D">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sz w:val="24"/>
                <w:szCs w:val="24"/>
              </w:rPr>
              <w:t>注：为提高政府采购工作效率，请采购单位提供需求时按照采购需求格式要求提供。</w:t>
            </w:r>
          </w:p>
        </w:tc>
      </w:tr>
      <w:tr w14:paraId="417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62" w:type="pct"/>
            <w:noWrap w:val="0"/>
            <w:vAlign w:val="center"/>
          </w:tcPr>
          <w:p w14:paraId="789232EF">
            <w:pPr>
              <w:spacing w:line="640" w:lineRule="exact"/>
              <w:jc w:val="center"/>
              <w:rPr>
                <w:rFonts w:ascii="宋体"/>
                <w:b/>
                <w:bCs/>
                <w:sz w:val="24"/>
                <w:szCs w:val="24"/>
              </w:rPr>
            </w:pPr>
            <w:r>
              <w:rPr>
                <w:rFonts w:hint="eastAsia" w:ascii="宋体" w:hAnsi="宋体" w:cs="宋体"/>
                <w:b/>
                <w:bCs/>
                <w:sz w:val="24"/>
                <w:szCs w:val="24"/>
              </w:rPr>
              <w:t>集中踏勘现场要求</w:t>
            </w:r>
          </w:p>
        </w:tc>
        <w:tc>
          <w:tcPr>
            <w:tcW w:w="3737" w:type="pct"/>
            <w:noWrap w:val="0"/>
            <w:vAlign w:val="center"/>
          </w:tcPr>
          <w:p w14:paraId="3AD0C5E4">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color w:val="auto"/>
                <w:sz w:val="24"/>
                <w:szCs w:val="24"/>
                <w:lang w:val="en-US" w:eastAsia="zh-CN"/>
              </w:rPr>
              <w:t>自行踏勘</w:t>
            </w:r>
          </w:p>
        </w:tc>
      </w:tr>
      <w:tr w14:paraId="4437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62" w:type="pct"/>
            <w:noWrap w:val="0"/>
            <w:vAlign w:val="center"/>
          </w:tcPr>
          <w:p w14:paraId="1967CD5D">
            <w:pPr>
              <w:spacing w:line="640" w:lineRule="exact"/>
              <w:jc w:val="center"/>
              <w:rPr>
                <w:rFonts w:ascii="宋体"/>
                <w:b/>
                <w:bCs/>
                <w:sz w:val="24"/>
                <w:szCs w:val="24"/>
              </w:rPr>
            </w:pPr>
            <w:r>
              <w:rPr>
                <w:rFonts w:hint="eastAsia" w:ascii="宋体" w:hAnsi="宋体" w:cs="宋体"/>
                <w:b/>
                <w:bCs/>
                <w:sz w:val="24"/>
                <w:szCs w:val="24"/>
              </w:rPr>
              <w:t>采购需求论证要求</w:t>
            </w:r>
          </w:p>
        </w:tc>
        <w:tc>
          <w:tcPr>
            <w:tcW w:w="3737" w:type="pct"/>
            <w:noWrap w:val="0"/>
            <w:vAlign w:val="center"/>
          </w:tcPr>
          <w:p w14:paraId="6A0A0B90">
            <w:pPr>
              <w:keepNext w:val="0"/>
              <w:keepLines w:val="0"/>
              <w:pageBreakBefore w:val="0"/>
              <w:widowControl w:val="0"/>
              <w:kinsoku/>
              <w:wordWrap/>
              <w:overflowPunct/>
              <w:topLinePunct w:val="0"/>
              <w:autoSpaceDE w:val="0"/>
              <w:autoSpaceDN w:val="0"/>
              <w:bidi w:val="0"/>
              <w:adjustRightInd w:val="0"/>
              <w:snapToGrid/>
              <w:spacing w:line="480" w:lineRule="exact"/>
              <w:jc w:val="left"/>
              <w:rPr>
                <w:rFonts w:ascii="宋体"/>
                <w:sz w:val="24"/>
                <w:szCs w:val="24"/>
              </w:rPr>
            </w:pPr>
            <w:r>
              <w:rPr>
                <w:rFonts w:hint="eastAsia" w:ascii="宋体" w:hAnsi="宋体" w:cs="宋体"/>
                <w:sz w:val="24"/>
                <w:szCs w:val="24"/>
              </w:rPr>
              <w:t>无须论证（</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相关专业人员论证（</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专家组论证（</w:t>
            </w:r>
            <w:r>
              <w:rPr>
                <w:rFonts w:ascii="宋体" w:hAnsi="宋体" w:cs="宋体"/>
                <w:sz w:val="24"/>
                <w:szCs w:val="24"/>
              </w:rPr>
              <w:t xml:space="preserve"> </w:t>
            </w:r>
            <w:r>
              <w:rPr>
                <w:rFonts w:hint="eastAsia" w:ascii="宋体" w:hAnsi="宋体" w:cs="宋体"/>
                <w:sz w:val="24"/>
                <w:szCs w:val="24"/>
              </w:rPr>
              <w:t>）</w:t>
            </w:r>
          </w:p>
        </w:tc>
      </w:tr>
    </w:tbl>
    <w:p w14:paraId="066FC55C">
      <w:pPr>
        <w:numPr>
          <w:ilvl w:val="0"/>
          <w:numId w:val="5"/>
        </w:numPr>
        <w:spacing w:line="640" w:lineRule="exact"/>
        <w:rPr>
          <w:rFonts w:hint="eastAsia" w:ascii="宋体" w:hAnsi="宋体" w:cs="宋体"/>
          <w:b/>
          <w:bCs/>
          <w:sz w:val="28"/>
          <w:szCs w:val="28"/>
        </w:rPr>
      </w:pPr>
      <w:r>
        <w:rPr>
          <w:rFonts w:hint="eastAsia" w:ascii="宋体" w:hAnsi="宋体" w:cs="宋体"/>
          <w:b/>
          <w:bCs/>
          <w:sz w:val="28"/>
          <w:szCs w:val="28"/>
          <w:lang w:val="en-US" w:eastAsia="zh-CN"/>
        </w:rPr>
        <w:t>服务需求</w:t>
      </w:r>
    </w:p>
    <w:p w14:paraId="591BC04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1、维保后的电梯应符合安全技术规范、强制性标准和电梯制造单位的技术要求。</w:t>
      </w:r>
    </w:p>
    <w:p w14:paraId="3E4ABA4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2、日常维护保养应遵守的标准：</w:t>
      </w:r>
    </w:p>
    <w:p w14:paraId="236110C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①电梯使用管理与维护保养规则TSG T5002-2017</w:t>
      </w:r>
    </w:p>
    <w:p w14:paraId="34999B4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②电梯维修规范GB/T 18775-2002</w:t>
      </w:r>
    </w:p>
    <w:p w14:paraId="03FA14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③电梯监督检验和定期检验规则—曳引与强制驱动电梯TSG T7001-2009</w:t>
      </w:r>
    </w:p>
    <w:p w14:paraId="303C513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④电梯监督检验和定期检验规则—自动扶梯与自动人行道 TSG T7005－2012</w:t>
      </w:r>
    </w:p>
    <w:p w14:paraId="1FC9DDE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⑤电梯安装维修作业安全规范DB11/419-2007</w:t>
      </w:r>
    </w:p>
    <w:p w14:paraId="6C7AD5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⑥电梯安装改造重大维修和维护保养自检规则DB11/420-2007</w:t>
      </w:r>
    </w:p>
    <w:p w14:paraId="66E53B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⑦电梯安装使用维护说明书</w:t>
      </w:r>
    </w:p>
    <w:p w14:paraId="1B8BC4C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⑧电梯维保合同</w:t>
      </w:r>
    </w:p>
    <w:p w14:paraId="3693135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3、提供24小时的紧急救援服务，并设立不少于2位维保负责人</w:t>
      </w:r>
      <w:r>
        <w:rPr>
          <w:rFonts w:hint="eastAsia" w:ascii="宋体" w:hAnsi="宋体" w:cs="宋体"/>
          <w:kern w:val="2"/>
          <w:sz w:val="24"/>
          <w:szCs w:val="24"/>
          <w:lang w:val="en-US" w:eastAsia="zh-CN" w:bidi="ar-SA"/>
        </w:rPr>
        <w:t>，须持证上岗，采购人标后核查。</w:t>
      </w:r>
      <w:r>
        <w:rPr>
          <w:rFonts w:hint="eastAsia" w:ascii="宋体" w:hAnsi="宋体" w:eastAsia="宋体" w:cs="宋体"/>
          <w:kern w:val="2"/>
          <w:sz w:val="24"/>
          <w:szCs w:val="24"/>
          <w:lang w:val="en-US" w:eastAsia="zh-CN" w:bidi="ar-SA"/>
        </w:rPr>
        <w:t>保持24小时电话畅通。当电梯发生困人故障，应在接到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通知后20分钟内赶赴现场实施紧急救援；电梯发生其他故障，应在接到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通知后60分钟内赶到现场实施抢修。</w:t>
      </w:r>
    </w:p>
    <w:p w14:paraId="46025DD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4、根据电梯的使用情况和设备状况，经双方协商确认后，应提供全年保养计划和各项定期保养计划，且每台每次保养时间不得少于30分钟。如需调整原保养计划，应提前3日通知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并经</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同意后方可调整，但应保证保养时间间隔不得超过15日。详细要求参考附件《电梯保养作业服务内容及细则要求》。</w:t>
      </w:r>
    </w:p>
    <w:p w14:paraId="1317147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现场作业人员应当取得相应的《特种设备作业人员证》。为有效实施保养计划，中标单位应安排熟悉所维保电梯原理、结构、性能、安全要求的特种设备作业人员负责维保工作，并督促其严格按照产品工艺要求、安全及技术规范进行维保。</w:t>
      </w:r>
    </w:p>
    <w:p w14:paraId="3C548F4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6、作业过程中应服从</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现场安全管理，落实现场安全防护措施，保证作业安全。需要安全监护作业的内容应书面告知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，作业时，作业人员不得少于二人。详细要求请参考附件一《电梯保养作业服务内容及细则要求》。</w:t>
      </w:r>
    </w:p>
    <w:p w14:paraId="0E97C5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7、现场需采取停梯措施时，应立即通知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并及时组织抢修。</w:t>
      </w:r>
    </w:p>
    <w:p w14:paraId="1DEFC3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8、根据</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的故障统计记录，应至少每季度一次提出故障分析报告。报告中应包含电梯故障的统计分析、整改措施和预防措施，以及有关电梯使用管理的合理化建议。（如无故障发生或不影响电梯安全运行的日常损耗则不需要做该报告）</w:t>
      </w:r>
    </w:p>
    <w:p w14:paraId="5B18CE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9、协助</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建立健全安全管理制度、安全技术档案、应急救援预案，配合</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开展应急救援演练。</w:t>
      </w:r>
    </w:p>
    <w:p w14:paraId="5AF3A8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10、不得以任何形式将维保工作非法分包、转包。</w:t>
      </w:r>
    </w:p>
    <w:p w14:paraId="26B3291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11、负责电梯年检事宜，负责办理电梯年检、电梯修理时所需的政府审批手续，</w:t>
      </w:r>
      <w:r>
        <w:rPr>
          <w:rFonts w:hint="eastAsia" w:ascii="宋体" w:hAnsi="宋体" w:cs="宋体"/>
          <w:kern w:val="2"/>
          <w:sz w:val="24"/>
          <w:szCs w:val="24"/>
          <w:lang w:val="en-US" w:eastAsia="zh-CN" w:bidi="ar-SA"/>
        </w:rPr>
        <w:t>相关费用包含在报价中</w:t>
      </w:r>
      <w:r>
        <w:rPr>
          <w:rFonts w:hint="eastAsia" w:ascii="宋体" w:hAnsi="宋体" w:eastAsia="宋体" w:cs="宋体"/>
          <w:kern w:val="2"/>
          <w:sz w:val="24"/>
          <w:szCs w:val="24"/>
          <w:lang w:val="en-US" w:eastAsia="zh-CN" w:bidi="ar-SA"/>
        </w:rPr>
        <w:t>。维保过程中所需的且符合电梯设计要求的消耗材料、零件的清单及价目表等</w:t>
      </w:r>
      <w:r>
        <w:rPr>
          <w:rFonts w:hint="eastAsia" w:ascii="宋体" w:hAnsi="宋体" w:cs="宋体"/>
          <w:kern w:val="2"/>
          <w:sz w:val="24"/>
          <w:szCs w:val="24"/>
          <w:lang w:val="en-US" w:eastAsia="zh-CN" w:bidi="ar-SA"/>
        </w:rPr>
        <w:t>包含在报价中</w:t>
      </w:r>
      <w:r>
        <w:rPr>
          <w:rFonts w:hint="eastAsia" w:ascii="宋体" w:hAnsi="宋体" w:eastAsia="宋体" w:cs="宋体"/>
          <w:kern w:val="2"/>
          <w:sz w:val="24"/>
          <w:szCs w:val="24"/>
          <w:lang w:val="en-US" w:eastAsia="zh-CN" w:bidi="ar-SA"/>
        </w:rPr>
        <w:t>；更换零部件时，必须经</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确认后，方可拆除或更换，更换的零部件应与原电梯配件品牌相同。</w:t>
      </w:r>
    </w:p>
    <w:p w14:paraId="2293EE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每年度至少进行一次自行检查。自查工作要在电梯年检前开展，自查项目根据使用状态决定，但是不少于附件一《电梯保养作业服务内容及细则要求》要求的年度维保和电梯定期检验规定的项目及其内容，同时向</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出具有自查和审核人员的签字、加盖中标单位公章的自查记录或者报告，并把相关问题记录在册报于</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，存在维保服务以外的问题须提前与</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沟通并配合整改，如因维保范围内和自查中发现问题没有上报</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，由此造成年检不合格，复检费用全部由</w:t>
      </w:r>
      <w:r>
        <w:rPr>
          <w:rFonts w:hint="eastAsia" w:ascii="宋体" w:hAnsi="宋体" w:cs="宋体"/>
          <w:kern w:val="2"/>
          <w:sz w:val="24"/>
          <w:szCs w:val="24"/>
          <w:lang w:val="en-US" w:eastAsia="zh-CN" w:bidi="ar-SA"/>
        </w:rPr>
        <w:t>中标单位</w:t>
      </w:r>
      <w:r>
        <w:rPr>
          <w:rFonts w:hint="eastAsia" w:ascii="宋体" w:hAnsi="宋体" w:eastAsia="宋体" w:cs="宋体"/>
          <w:kern w:val="2"/>
          <w:sz w:val="24"/>
          <w:szCs w:val="24"/>
          <w:lang w:val="en-US" w:eastAsia="zh-CN" w:bidi="ar-SA"/>
        </w:rPr>
        <w:t>承担。</w:t>
      </w:r>
    </w:p>
    <w:p w14:paraId="58FE335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13、整理</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现场电梯相关资料，每次电梯维修维保应有加盖</w:t>
      </w:r>
      <w:r>
        <w:rPr>
          <w:rFonts w:hint="eastAsia" w:ascii="宋体" w:hAnsi="宋体" w:cs="宋体"/>
          <w:kern w:val="2"/>
          <w:sz w:val="24"/>
          <w:szCs w:val="24"/>
          <w:lang w:val="en-US" w:eastAsia="zh-CN" w:bidi="ar-SA"/>
        </w:rPr>
        <w:t>中标单位</w:t>
      </w:r>
      <w:r>
        <w:rPr>
          <w:rFonts w:hint="eastAsia" w:ascii="宋体" w:hAnsi="宋体" w:eastAsia="宋体" w:cs="宋体"/>
          <w:kern w:val="2"/>
          <w:sz w:val="24"/>
          <w:szCs w:val="24"/>
          <w:lang w:val="en-US" w:eastAsia="zh-CN" w:bidi="ar-SA"/>
        </w:rPr>
        <w:t>公章的纸质版工作记录单，交由</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存档。所有</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现场电梯资料需分类明确，便于任何形式的检查和调阅。</w:t>
      </w:r>
    </w:p>
    <w:p w14:paraId="69E3CA8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14、维保单位入驻后更换电梯内的报修信息牌（内容包含，电梯维保公司信息，电梯故障报修电话）</w:t>
      </w:r>
      <w:r>
        <w:rPr>
          <w:rFonts w:hint="eastAsia" w:ascii="宋体" w:hAnsi="宋体" w:cs="宋体"/>
          <w:kern w:val="2"/>
          <w:sz w:val="24"/>
          <w:szCs w:val="24"/>
          <w:lang w:val="en-US" w:eastAsia="zh-CN" w:bidi="ar-SA"/>
        </w:rPr>
        <w:t>等相关费用包含在投标报价中</w:t>
      </w:r>
      <w:r>
        <w:rPr>
          <w:rFonts w:hint="eastAsia" w:ascii="宋体" w:hAnsi="宋体" w:eastAsia="宋体" w:cs="宋体"/>
          <w:kern w:val="2"/>
          <w:sz w:val="24"/>
          <w:szCs w:val="24"/>
          <w:lang w:val="en-US" w:eastAsia="zh-CN" w:bidi="ar-SA"/>
        </w:rPr>
        <w:t>。信息牌需采用亚克力板，泡沫板打印，塑料材料，文字图示清晰，尺寸不低于20CM*10CM。</w:t>
      </w:r>
    </w:p>
    <w:p w14:paraId="6FBA14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15、维保单位每年需主动组织</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进行两次电梯安全预演，宣传电梯乘坐遇险时的安全知识，规范现场工作人员的应对方案。</w:t>
      </w:r>
    </w:p>
    <w:p w14:paraId="7DA8C82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三、报价文件要求</w:t>
      </w:r>
    </w:p>
    <w:p w14:paraId="58A57E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总价报价，投标人需按照要求，先提供单台电梯报价，再根据台数报总价，以总价作为评标定标依据。</w:t>
      </w:r>
    </w:p>
    <w:p w14:paraId="235004F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总价含为完成本项目的所需的全部费用，包括但不限于包含维保及维修所需的工具费、劳务费、电梯年检费、维修费、档案管理费、安全责任保险费、报修信息牌制作更换费、曳引机、控制柜主板、曳引钢丝绳、轿厢内玻璃、五方对讲、电梯各类主辅零部件维修及更换费、人工费、管理费、风险、税费、合理的利润及确保电梯正常运行的一切费用。</w:t>
      </w:r>
    </w:p>
    <w:p w14:paraId="33335E7A">
      <w:pPr>
        <w:pStyle w:val="19"/>
        <w:widowControl/>
        <w:pBdr>
          <w:top w:val="none" w:color="auto" w:sz="0" w:space="0"/>
          <w:left w:val="none" w:color="auto" w:sz="0" w:space="0"/>
          <w:bottom w:val="none" w:color="auto" w:sz="0" w:space="0"/>
          <w:right w:val="none" w:color="auto" w:sz="0" w:space="0"/>
        </w:pBdr>
        <w:spacing w:line="520" w:lineRule="exact"/>
        <w:rPr>
          <w:rFonts w:hint="eastAsia" w:ascii="宋体" w:hAnsi="宋体" w:eastAsia="宋体" w:cs="宋体"/>
          <w:b/>
          <w:bCs/>
          <w:color w:val="333333"/>
          <w:sz w:val="28"/>
          <w:szCs w:val="28"/>
          <w:shd w:val="clear" w:color="auto" w:fill="FFFFFF"/>
          <w:lang w:val="en-US" w:eastAsia="zh-CN"/>
        </w:rPr>
      </w:pPr>
      <w:r>
        <w:rPr>
          <w:rFonts w:hint="eastAsia" w:ascii="宋体" w:hAnsi="宋体" w:eastAsia="宋体" w:cs="宋体"/>
          <w:b/>
          <w:bCs/>
          <w:color w:val="333333"/>
          <w:sz w:val="28"/>
          <w:szCs w:val="28"/>
          <w:shd w:val="clear" w:color="auto" w:fill="FFFFFF"/>
          <w:lang w:val="en-US" w:eastAsia="zh-CN"/>
        </w:rPr>
        <w:t>四、其他要求：</w:t>
      </w:r>
    </w:p>
    <w:p w14:paraId="5BB71FD4">
      <w:pPr>
        <w:keepNext w:val="0"/>
        <w:keepLines w:val="0"/>
        <w:pageBreakBefore w:val="0"/>
        <w:kinsoku/>
        <w:wordWrap/>
        <w:overflowPunct/>
        <w:topLinePunct w:val="0"/>
        <w:autoSpaceDE/>
        <w:autoSpaceDN/>
        <w:bidi w:val="0"/>
        <w:adjustRightInd w:val="0"/>
        <w:snapToGrid w:val="0"/>
        <w:spacing w:line="500" w:lineRule="exact"/>
        <w:ind w:firstLine="566" w:firstLineChars="236"/>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采购人</w:t>
      </w:r>
      <w:r>
        <w:rPr>
          <w:rFonts w:hint="eastAsia" w:ascii="宋体" w:hAnsi="宋体" w:eastAsia="宋体" w:cs="宋体"/>
          <w:kern w:val="2"/>
          <w:sz w:val="24"/>
          <w:szCs w:val="24"/>
          <w:highlight w:val="none"/>
          <w:lang w:val="en-US" w:eastAsia="zh-CN"/>
        </w:rPr>
        <w:t>每月对</w:t>
      </w:r>
      <w:r>
        <w:rPr>
          <w:rFonts w:hint="eastAsia" w:ascii="宋体" w:hAnsi="宋体" w:cs="宋体"/>
          <w:kern w:val="2"/>
          <w:sz w:val="24"/>
          <w:szCs w:val="24"/>
          <w:highlight w:val="none"/>
          <w:lang w:val="en-US" w:eastAsia="zh-CN"/>
        </w:rPr>
        <w:t>中标单位</w:t>
      </w:r>
      <w:r>
        <w:rPr>
          <w:rFonts w:hint="eastAsia" w:ascii="宋体" w:hAnsi="宋体" w:eastAsia="宋体" w:cs="宋体"/>
          <w:kern w:val="2"/>
          <w:sz w:val="24"/>
          <w:szCs w:val="24"/>
          <w:highlight w:val="none"/>
          <w:lang w:val="en-US" w:eastAsia="zh-CN"/>
        </w:rPr>
        <w:t>考核一次，考核完成后由服务中心进行评定和签字，并由工程管理部审核，维保单位要对考核评分结果签字确认。具体考核标准详见附件《电梯维保质量考核评分表》；满分100分，90分及以上为良好，每扣一分扣除200元电梯维保费用；评分低于90分每少一分扣500元电梯维保费用；70分以下考核为不合格，服服务费按照60%发放。连续两月不合格合同自动解除。</w:t>
      </w:r>
    </w:p>
    <w:p w14:paraId="3A1CBBF7">
      <w:pPr>
        <w:keepNext w:val="0"/>
        <w:keepLines w:val="0"/>
        <w:pageBreakBefore w:val="0"/>
        <w:kinsoku/>
        <w:wordWrap/>
        <w:overflowPunct/>
        <w:topLinePunct w:val="0"/>
        <w:autoSpaceDE/>
        <w:autoSpaceDN/>
        <w:bidi w:val="0"/>
        <w:adjustRightInd w:val="0"/>
        <w:snapToGrid w:val="0"/>
        <w:spacing w:line="500" w:lineRule="exact"/>
        <w:ind w:firstLine="566" w:firstLineChars="236"/>
        <w:textAlignment w:val="auto"/>
        <w:rPr>
          <w:rFonts w:hint="eastAsia" w:ascii="宋体" w:hAnsi="宋体" w:eastAsia="宋体" w:cs="宋体"/>
          <w:b w:val="0"/>
          <w:bCs/>
          <w:sz w:val="24"/>
          <w:szCs w:val="24"/>
          <w:lang w:val="en-US" w:eastAsia="zh-CN"/>
        </w:rPr>
      </w:pPr>
      <w:r>
        <w:rPr>
          <w:rFonts w:hint="eastAsia" w:ascii="宋体" w:hAnsi="宋体" w:eastAsia="宋体" w:cs="宋体"/>
          <w:b w:val="0"/>
          <w:bCs w:val="0"/>
          <w:sz w:val="24"/>
          <w:szCs w:val="24"/>
          <w:lang w:val="en-US" w:eastAsia="zh-CN"/>
        </w:rPr>
        <w:t>1、中标单位入驻前需对</w:t>
      </w:r>
      <w:r>
        <w:rPr>
          <w:rFonts w:hint="eastAsia" w:ascii="宋体" w:hAnsi="宋体" w:cs="宋体"/>
          <w:b w:val="0"/>
          <w:bCs w:val="0"/>
          <w:sz w:val="24"/>
          <w:szCs w:val="24"/>
          <w:lang w:val="en-US" w:eastAsia="zh-CN"/>
        </w:rPr>
        <w:t>采购人</w:t>
      </w:r>
      <w:r>
        <w:rPr>
          <w:rFonts w:hint="eastAsia" w:ascii="宋体" w:hAnsi="宋体" w:eastAsia="宋体" w:cs="宋体"/>
          <w:b w:val="0"/>
          <w:bCs w:val="0"/>
          <w:sz w:val="24"/>
          <w:szCs w:val="24"/>
          <w:lang w:val="en-US" w:eastAsia="zh-CN"/>
        </w:rPr>
        <w:t>现场电梯进行了</w:t>
      </w:r>
      <w:r>
        <w:rPr>
          <w:rFonts w:hint="eastAsia" w:ascii="宋体" w:hAnsi="宋体" w:eastAsia="宋体" w:cs="宋体"/>
          <w:b w:val="0"/>
          <w:bCs/>
          <w:sz w:val="24"/>
          <w:szCs w:val="24"/>
          <w:lang w:val="en-US" w:eastAsia="zh-CN"/>
        </w:rPr>
        <w:t>详细的检修，检修结果经</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签字确认，并作为电梯现状记录由甲、乙双方保存。</w:t>
      </w:r>
    </w:p>
    <w:p w14:paraId="2831323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2、每台电梯均应当建立独立的维保记录。维保维修相关记录应当一式两份，甲乙双方各保存一份，维修与抢修记录均应当长期保存。</w:t>
      </w:r>
    </w:p>
    <w:p w14:paraId="1A4CBB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3、根据电梯的现状，甲乙双方约定非使用原因导致的电梯困人故障次数每月每台电梯不超过2次。</w:t>
      </w:r>
    </w:p>
    <w:p w14:paraId="46641EA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4、中标单位未按约定履行义务给</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造成任何损失的，应当承担全部责任。</w:t>
      </w:r>
    </w:p>
    <w:p w14:paraId="099E79A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5、因</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未在期限更换应该更换的电梯零部件而导致电梯故障或存在安全隐患的，由</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自行承担责任。</w:t>
      </w:r>
    </w:p>
    <w:p w14:paraId="6D925E9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违反约定，作业过程中未服从</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现场安全管理落实现场安全防护措施，或需要安全监护的作业时作业人员只有一人，或保养时间不足，</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可拒付当次作业或保养的当台当月保养费。</w:t>
      </w:r>
    </w:p>
    <w:p w14:paraId="1FB9BEC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维保工作不符合合同约定的维保标准或要求的，</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应当返工，并按照100元/次标准支付违约金。</w:t>
      </w:r>
    </w:p>
    <w:p w14:paraId="0EB67A0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8、在电梯维保作业过程中因维保原因导致人身伤亡或设备损坏、零部件丢失的，由</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承担全部责任。</w:t>
      </w:r>
    </w:p>
    <w:p w14:paraId="7FCE861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9、因维保原因导致电梯检验不合格的，由</w:t>
      </w:r>
      <w:r>
        <w:rPr>
          <w:rFonts w:hint="eastAsia" w:ascii="宋体" w:hAnsi="宋体" w:cs="宋体"/>
          <w:b w:val="0"/>
          <w:bCs/>
          <w:sz w:val="24"/>
          <w:szCs w:val="24"/>
          <w:lang w:val="en-US" w:eastAsia="zh-CN"/>
        </w:rPr>
        <w:t>中标单位</w:t>
      </w:r>
      <w:r>
        <w:rPr>
          <w:rFonts w:hint="eastAsia" w:ascii="宋体" w:hAnsi="宋体" w:eastAsia="宋体" w:cs="宋体"/>
          <w:b w:val="0"/>
          <w:bCs/>
          <w:sz w:val="24"/>
          <w:szCs w:val="24"/>
          <w:lang w:val="en-US" w:eastAsia="zh-CN"/>
        </w:rPr>
        <w:t>承担电梯复检费用。</w:t>
      </w:r>
    </w:p>
    <w:p w14:paraId="68E1F883">
      <w:pPr>
        <w:numPr>
          <w:ilvl w:val="0"/>
          <w:numId w:val="0"/>
        </w:numPr>
        <w:spacing w:line="64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五、电梯保养计划</w:t>
      </w:r>
    </w:p>
    <w:p w14:paraId="3CEEFCA9">
      <w:pPr>
        <w:spacing w:line="440" w:lineRule="exact"/>
        <w:ind w:firstLine="480"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电梯</w:t>
      </w:r>
      <w:r>
        <w:rPr>
          <w:rFonts w:hint="eastAsia" w:ascii="宋体" w:hAnsi="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lang w:bidi="ar"/>
        </w:rPr>
        <w:t>、季、年的保养具体内容：</w:t>
      </w:r>
    </w:p>
    <w:p w14:paraId="314DCDD5">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1、每</w:t>
      </w:r>
      <w:r>
        <w:rPr>
          <w:rFonts w:hint="eastAsia" w:ascii="宋体" w:hAnsi="宋体" w:cs="宋体"/>
          <w:color w:val="000000"/>
          <w:kern w:val="0"/>
          <w:sz w:val="24"/>
          <w:szCs w:val="24"/>
          <w:lang w:val="en-US" w:eastAsia="zh-CN" w:bidi="ar"/>
        </w:rPr>
        <w:t>月</w:t>
      </w:r>
      <w:r>
        <w:rPr>
          <w:rFonts w:hint="eastAsia" w:ascii="宋体" w:hAnsi="宋体" w:eastAsia="宋体" w:cs="宋体"/>
          <w:color w:val="000000"/>
          <w:kern w:val="0"/>
          <w:sz w:val="24"/>
          <w:szCs w:val="24"/>
          <w:lang w:bidi="ar"/>
        </w:rPr>
        <w:t>保养的内容：</w:t>
      </w:r>
    </w:p>
    <w:p w14:paraId="4AE12ADF">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⑴控制屏检查除尘清洁。</w:t>
      </w:r>
    </w:p>
    <w:p w14:paraId="1E006925">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⑵曳引机组、发电机组除尘清洁，油位检查，抱闸动作可靠检查。</w:t>
      </w:r>
    </w:p>
    <w:p w14:paraId="58E0A634">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⑶限速器开关动作灵活可靠检查。</w:t>
      </w:r>
    </w:p>
    <w:p w14:paraId="4A00150A">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⑷机房环境整洁。</w:t>
      </w:r>
    </w:p>
    <w:p w14:paraId="68158A3A">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⑸门机构调整清洁润滑。</w:t>
      </w:r>
    </w:p>
    <w:p w14:paraId="05D82247">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⑹检查操纵箱各类按钮开关及显示功能正常。</w:t>
      </w:r>
    </w:p>
    <w:p w14:paraId="2DD83DD3">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⑺轿门上坎清洁润滑，门保护系统功能正常。</w:t>
      </w:r>
    </w:p>
    <w:p w14:paraId="49E604E4">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⑻轿顶开关检查及清扫检查厅门。</w:t>
      </w:r>
    </w:p>
    <w:p w14:paraId="4930127F">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⑼检查厅间机电联锁功能重锺及尼龙绳完好。</w:t>
      </w:r>
    </w:p>
    <w:p w14:paraId="4A7B705C">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⑽厅门上下坎滑轮清洁润滑。</w:t>
      </w:r>
    </w:p>
    <w:p w14:paraId="562F4D16">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⑾检查各厅门外召呼和显示功能正确。</w:t>
      </w:r>
    </w:p>
    <w:p w14:paraId="5BFCC752">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⑿检查线路盒线槽线管。</w:t>
      </w:r>
    </w:p>
    <w:p w14:paraId="4B9A4B75">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⒀地坑清扫。</w:t>
      </w:r>
    </w:p>
    <w:p w14:paraId="385A3419">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⒁检查随行电缆。</w:t>
      </w:r>
    </w:p>
    <w:p w14:paraId="6C2A4CB2">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⒂缓冲器油位检查。</w:t>
      </w:r>
    </w:p>
    <w:p w14:paraId="5E4EB5B0">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⒃检查各限位开关功能完好。</w:t>
      </w:r>
    </w:p>
    <w:p w14:paraId="178041EB">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2、每季度保养内容：</w:t>
      </w:r>
    </w:p>
    <w:p w14:paraId="2495A5F4">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⑴检查接触器、继电器、触点的工作状况。</w:t>
      </w:r>
    </w:p>
    <w:p w14:paraId="3C53230E">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⑵上下极限开关位置检查调整。</w:t>
      </w:r>
    </w:p>
    <w:p w14:paraId="011EC0A0">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⑶主付导轨导靴检查更换、清洁，检查导向轮对重轮和轿顶轮。</w:t>
      </w:r>
    </w:p>
    <w:p w14:paraId="08C3E6EC">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⑷平层精度保养。</w:t>
      </w:r>
    </w:p>
    <w:p w14:paraId="74419F8F">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⑸层层厅门、轿厢采用不锈钢油清洁。</w:t>
      </w:r>
    </w:p>
    <w:p w14:paraId="7765CEFD">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⑹蜗轮减速箱及电机是否有油。</w:t>
      </w:r>
    </w:p>
    <w:p w14:paraId="0C18761E">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⑺制动器动作是否正常，制动瓦与制动盘间隙是否正常。</w:t>
      </w:r>
    </w:p>
    <w:p w14:paraId="4359AAFD">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⑻曳引钢丝绳、限速器钢丝绳、选层器钢带运行是否正常。</w:t>
      </w:r>
    </w:p>
    <w:p w14:paraId="0B9E3F6D">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⑼继电器、接触器、选层器等工作情况是否正常。</w:t>
      </w:r>
    </w:p>
    <w:p w14:paraId="5D9B46F7">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⑽触点的清洁工作和主要部件螺钉紧固等。</w:t>
      </w:r>
    </w:p>
    <w:p w14:paraId="50887E1A">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⑾电动机皮带轮、皮带电动机制动器速度控制开关、安全开关等。</w:t>
      </w:r>
    </w:p>
    <w:p w14:paraId="06BAC856">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⑿检查曳引绳、补偿绳装置选层器钢带和限速器绳的伸长情况。</w:t>
      </w:r>
    </w:p>
    <w:p w14:paraId="6772041E">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3、年度保养内容：</w:t>
      </w:r>
    </w:p>
    <w:p w14:paraId="6E8DB065">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⑴曳引绳槽及曳引钢丝绳磨损程度检查。</w:t>
      </w:r>
    </w:p>
    <w:p w14:paraId="2D4B69DB">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⑵限速器的动作是否正确，限速器效验及安全钳间隙调整。</w:t>
      </w:r>
    </w:p>
    <w:p w14:paraId="1446F7D8">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⑶安全装置及回路检查。</w:t>
      </w:r>
    </w:p>
    <w:p w14:paraId="07183605">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⑷年度检查，对运行一年以上的电梯进行一次全面检查。</w:t>
      </w:r>
    </w:p>
    <w:p w14:paraId="419755BF">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⑸对电梯的机械、电气、安全设备主要另部件磨损程度修复和更换。</w:t>
      </w:r>
    </w:p>
    <w:p w14:paraId="7CD87B8F">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⑹对控制屏的接触器、继电器的触点及插件如发现有拉毛烧蚀等要予修复或更换。</w:t>
      </w:r>
    </w:p>
    <w:p w14:paraId="3FFDA67B">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⑺按标准尺寸调整钢丝绳长短，观察曳引轮的磨损程度。</w:t>
      </w:r>
    </w:p>
    <w:p w14:paraId="22292B26">
      <w:pPr>
        <w:spacing w:line="440" w:lineRule="exact"/>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⑻调换厅门、轿门的滚轮，调换开门机的易损件。</w:t>
      </w:r>
    </w:p>
    <w:p w14:paraId="6AE5A987">
      <w:pPr>
        <w:spacing w:line="440" w:lineRule="exact"/>
        <w:ind w:firstLine="480" w:firstLineChars="200"/>
        <w:rPr>
          <w:highlight w:val="none"/>
        </w:rPr>
      </w:pPr>
      <w:r>
        <w:rPr>
          <w:rFonts w:hint="eastAsia" w:ascii="宋体" w:hAnsi="宋体" w:eastAsia="宋体" w:cs="宋体"/>
          <w:color w:val="000000"/>
          <w:kern w:val="0"/>
          <w:sz w:val="24"/>
          <w:szCs w:val="24"/>
          <w:lang w:bidi="ar"/>
        </w:rPr>
        <w:t>⑼做好每台电梯更换另配件的纪录存档。</w:t>
      </w:r>
      <w:r>
        <w:rPr>
          <w:highlight w:val="none"/>
        </w:rPr>
        <w:br w:type="page"/>
      </w:r>
    </w:p>
    <w:p w14:paraId="0AB8234E">
      <w:pPr>
        <w:widowControl/>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附件</w:t>
      </w:r>
      <w:r>
        <w:rPr>
          <w:rFonts w:hint="eastAsia" w:ascii="宋体" w:hAnsi="宋体" w:cs="宋体"/>
          <w:b/>
          <w:bCs w:val="0"/>
          <w:sz w:val="24"/>
          <w:szCs w:val="24"/>
          <w:lang w:val="en-US" w:eastAsia="zh-CN"/>
        </w:rPr>
        <w:t>一</w:t>
      </w:r>
      <w:r>
        <w:rPr>
          <w:rFonts w:hint="eastAsia" w:ascii="宋体" w:hAnsi="宋体" w:eastAsia="宋体" w:cs="宋体"/>
          <w:b/>
          <w:bCs w:val="0"/>
          <w:sz w:val="24"/>
          <w:szCs w:val="24"/>
          <w:lang w:val="en-US" w:eastAsia="zh-CN"/>
        </w:rPr>
        <w:t>：《电梯保养作业服务内容及细则要求》</w:t>
      </w:r>
    </w:p>
    <w:p w14:paraId="12B300A4">
      <w:pPr>
        <w:widowControl/>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一、</w:t>
      </w:r>
      <w:r>
        <w:rPr>
          <w:rFonts w:hint="eastAsia" w:ascii="宋体" w:hAnsi="宋体" w:eastAsia="宋体" w:cs="宋体"/>
          <w:b w:val="0"/>
          <w:bCs/>
          <w:sz w:val="24"/>
          <w:szCs w:val="24"/>
          <w:lang w:val="en-US" w:eastAsia="zh-CN"/>
        </w:rPr>
        <w:t>保养行程表</w:t>
      </w:r>
    </w:p>
    <w:p w14:paraId="1A0977A4">
      <w:pPr>
        <w:widowControl/>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7772400</wp:posOffset>
                </wp:positionH>
                <wp:positionV relativeFrom="paragraph">
                  <wp:posOffset>297180</wp:posOffset>
                </wp:positionV>
                <wp:extent cx="228600" cy="198120"/>
                <wp:effectExtent l="4445" t="4445" r="14605" b="6985"/>
                <wp:wrapNone/>
                <wp:docPr id="12" name="椭圆 12"/>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3" type="#_x0000_t3" style="position:absolute;left:0pt;margin-left:612pt;margin-top:23.4pt;height:15.6pt;width:18pt;z-index:251659264;mso-width-relative:page;mso-height-relative:page;" fillcolor="#FFFFFF" filled="t" stroked="t" coordsize="21600,21600" o:gfxdata="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rj0GdgAAAALAQAADwAAAAAAAAABACAAAAAiAAAAZHJzL2Rvd25y&#10;ZXYueG1sUEsBAhQAFAAAAAgAh07iQBnEXIX+AQAAJgQAAA4AAAAAAAAAAQAgAAAAJwEAAGRycy9l&#10;Mm9Eb2MueG1sUEsFBgAAAAAGAAYAWQEAAJcFAAAAAA==&#10;">
                <v:fill on="t" focussize="0,0"/>
                <v:stroke color="#000000" joinstyle="round"/>
                <v:imagedata o:title=""/>
                <o:lock v:ext="edit" aspectratio="f"/>
              </v:shape>
            </w:pict>
          </mc:Fallback>
        </mc:AlternateContent>
      </w:r>
      <w:r>
        <w:rPr>
          <w:rFonts w:hint="eastAsia" w:ascii="宋体" w:hAnsi="宋体" w:eastAsia="宋体" w:cs="宋体"/>
          <w:b w:val="0"/>
          <w:bCs/>
          <w:sz w:val="24"/>
          <w:szCs w:val="24"/>
          <w:lang w:val="en-US" w:eastAsia="zh-CN"/>
        </w:rPr>
        <w:t>该表</w:t>
      </w:r>
      <w:r>
        <w:rPr>
          <w:rFonts w:hint="eastAsia" w:ascii="宋体" w:hAnsi="宋体" w:cs="宋体"/>
          <w:b w:val="0"/>
          <w:bCs/>
          <w:sz w:val="24"/>
          <w:szCs w:val="24"/>
          <w:lang w:val="en-US" w:eastAsia="zh-CN"/>
        </w:rPr>
        <w:t>为</w:t>
      </w:r>
      <w:r>
        <w:rPr>
          <w:rFonts w:hint="eastAsia" w:ascii="宋体" w:hAnsi="宋体" w:eastAsia="宋体" w:cs="宋体"/>
          <w:b w:val="0"/>
          <w:bCs/>
          <w:sz w:val="24"/>
          <w:szCs w:val="24"/>
          <w:lang w:val="en-US" w:eastAsia="zh-CN"/>
        </w:rPr>
        <w:t>一年内各月份的主要保养范围，内容可依</w:t>
      </w:r>
      <w:r>
        <w:rPr>
          <w:rFonts w:hint="eastAsia" w:ascii="宋体" w:hAnsi="宋体" w:cs="宋体"/>
          <w:b w:val="0"/>
          <w:bCs/>
          <w:sz w:val="24"/>
          <w:szCs w:val="24"/>
          <w:lang w:val="en-US" w:eastAsia="zh-CN"/>
        </w:rPr>
        <w:t>项目实际情况</w:t>
      </w:r>
      <w:r>
        <w:rPr>
          <w:rFonts w:hint="eastAsia" w:ascii="宋体" w:hAnsi="宋体" w:eastAsia="宋体" w:cs="宋体"/>
          <w:b w:val="0"/>
          <w:bCs/>
          <w:sz w:val="24"/>
          <w:szCs w:val="24"/>
          <w:lang w:val="en-US" w:eastAsia="zh-CN"/>
        </w:rPr>
        <w:t>而作增加。</w:t>
      </w:r>
    </w:p>
    <w:tbl>
      <w:tblPr>
        <w:tblStyle w:val="23"/>
        <w:tblW w:w="85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520"/>
        <w:gridCol w:w="435"/>
        <w:gridCol w:w="435"/>
        <w:gridCol w:w="435"/>
        <w:gridCol w:w="435"/>
        <w:gridCol w:w="435"/>
        <w:gridCol w:w="435"/>
        <w:gridCol w:w="435"/>
        <w:gridCol w:w="435"/>
        <w:gridCol w:w="435"/>
        <w:gridCol w:w="435"/>
        <w:gridCol w:w="435"/>
        <w:gridCol w:w="435"/>
      </w:tblGrid>
      <w:tr w14:paraId="3514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61354177">
            <w:pPr>
              <w:ind w:right="-109" w:rightChars="-52"/>
              <w:rPr>
                <w:rFonts w:hint="eastAsia" w:ascii="宋体" w:hAnsi="宋体" w:eastAsia="宋体" w:cs="宋体"/>
                <w:sz w:val="24"/>
              </w:rPr>
            </w:pPr>
          </w:p>
        </w:tc>
        <w:tc>
          <w:tcPr>
            <w:tcW w:w="2520" w:type="dxa"/>
            <w:noWrap w:val="0"/>
            <w:vAlign w:val="top"/>
          </w:tcPr>
          <w:p w14:paraId="46F04432">
            <w:pPr>
              <w:ind w:right="-109" w:rightChars="-52"/>
              <w:jc w:val="center"/>
              <w:rPr>
                <w:rFonts w:hint="eastAsia" w:ascii="宋体" w:hAnsi="宋体" w:eastAsia="宋体" w:cs="宋体"/>
                <w:sz w:val="24"/>
              </w:rPr>
            </w:pPr>
            <w:r>
              <w:rPr>
                <w:rFonts w:hint="eastAsia" w:ascii="宋体" w:hAnsi="宋体" w:eastAsia="宋体" w:cs="宋体"/>
                <w:sz w:val="24"/>
              </w:rPr>
              <w:t>工作明细</w:t>
            </w:r>
          </w:p>
        </w:tc>
        <w:tc>
          <w:tcPr>
            <w:tcW w:w="435" w:type="dxa"/>
            <w:noWrap w:val="0"/>
            <w:vAlign w:val="top"/>
          </w:tcPr>
          <w:p w14:paraId="55D1CB68">
            <w:pPr>
              <w:ind w:right="-109" w:rightChars="-52"/>
              <w:rPr>
                <w:rFonts w:hint="eastAsia" w:ascii="宋体" w:hAnsi="宋体" w:eastAsia="宋体" w:cs="宋体"/>
                <w:sz w:val="24"/>
              </w:rPr>
            </w:pPr>
            <w:r>
              <w:rPr>
                <w:rFonts w:hint="eastAsia" w:ascii="宋体" w:hAnsi="宋体" w:eastAsia="宋体" w:cs="宋体"/>
                <w:sz w:val="24"/>
              </w:rPr>
              <w:t>1</w:t>
            </w:r>
          </w:p>
        </w:tc>
        <w:tc>
          <w:tcPr>
            <w:tcW w:w="435" w:type="dxa"/>
            <w:noWrap w:val="0"/>
            <w:vAlign w:val="top"/>
          </w:tcPr>
          <w:p w14:paraId="1A386896">
            <w:pPr>
              <w:ind w:right="-109" w:rightChars="-52"/>
              <w:rPr>
                <w:rFonts w:hint="eastAsia" w:ascii="宋体" w:hAnsi="宋体" w:eastAsia="宋体" w:cs="宋体"/>
                <w:sz w:val="24"/>
              </w:rPr>
            </w:pPr>
            <w:r>
              <w:rPr>
                <w:rFonts w:hint="eastAsia" w:ascii="宋体" w:hAnsi="宋体" w:eastAsia="宋体" w:cs="宋体"/>
                <w:sz w:val="24"/>
              </w:rPr>
              <w:t>2</w:t>
            </w:r>
          </w:p>
        </w:tc>
        <w:tc>
          <w:tcPr>
            <w:tcW w:w="435" w:type="dxa"/>
            <w:noWrap w:val="0"/>
            <w:vAlign w:val="top"/>
          </w:tcPr>
          <w:p w14:paraId="0DFB15A1">
            <w:pPr>
              <w:ind w:right="-109" w:rightChars="-52"/>
              <w:rPr>
                <w:rFonts w:hint="eastAsia" w:ascii="宋体" w:hAnsi="宋体" w:eastAsia="宋体" w:cs="宋体"/>
                <w:sz w:val="24"/>
              </w:rPr>
            </w:pPr>
            <w:r>
              <w:rPr>
                <w:rFonts w:hint="eastAsia" w:ascii="宋体" w:hAnsi="宋体" w:eastAsia="宋体" w:cs="宋体"/>
                <w:sz w:val="24"/>
              </w:rPr>
              <w:t>3</w:t>
            </w:r>
          </w:p>
        </w:tc>
        <w:tc>
          <w:tcPr>
            <w:tcW w:w="435" w:type="dxa"/>
            <w:noWrap w:val="0"/>
            <w:vAlign w:val="top"/>
          </w:tcPr>
          <w:p w14:paraId="36A87F4C">
            <w:pPr>
              <w:ind w:right="-109" w:rightChars="-52"/>
              <w:rPr>
                <w:rFonts w:hint="eastAsia" w:ascii="宋体" w:hAnsi="宋体" w:eastAsia="宋体" w:cs="宋体"/>
                <w:sz w:val="24"/>
              </w:rPr>
            </w:pPr>
            <w:r>
              <w:rPr>
                <w:rFonts w:hint="eastAsia" w:ascii="宋体" w:hAnsi="宋体" w:eastAsia="宋体" w:cs="宋体"/>
                <w:sz w:val="24"/>
              </w:rPr>
              <w:t>4</w:t>
            </w:r>
          </w:p>
        </w:tc>
        <w:tc>
          <w:tcPr>
            <w:tcW w:w="435" w:type="dxa"/>
            <w:noWrap w:val="0"/>
            <w:vAlign w:val="top"/>
          </w:tcPr>
          <w:p w14:paraId="1D40429B">
            <w:pPr>
              <w:ind w:right="-109" w:rightChars="-52"/>
              <w:rPr>
                <w:rFonts w:hint="eastAsia" w:ascii="宋体" w:hAnsi="宋体" w:eastAsia="宋体" w:cs="宋体"/>
                <w:sz w:val="24"/>
              </w:rPr>
            </w:pPr>
            <w:r>
              <w:rPr>
                <w:rFonts w:hint="eastAsia" w:ascii="宋体" w:hAnsi="宋体" w:eastAsia="宋体" w:cs="宋体"/>
                <w:sz w:val="24"/>
              </w:rPr>
              <w:t>5</w:t>
            </w:r>
          </w:p>
        </w:tc>
        <w:tc>
          <w:tcPr>
            <w:tcW w:w="435" w:type="dxa"/>
            <w:noWrap w:val="0"/>
            <w:vAlign w:val="top"/>
          </w:tcPr>
          <w:p w14:paraId="55DB0102">
            <w:pPr>
              <w:ind w:right="-109" w:rightChars="-52"/>
              <w:rPr>
                <w:rFonts w:hint="eastAsia" w:ascii="宋体" w:hAnsi="宋体" w:eastAsia="宋体" w:cs="宋体"/>
                <w:sz w:val="24"/>
              </w:rPr>
            </w:pPr>
            <w:r>
              <w:rPr>
                <w:rFonts w:hint="eastAsia" w:ascii="宋体" w:hAnsi="宋体" w:eastAsia="宋体" w:cs="宋体"/>
                <w:sz w:val="24"/>
              </w:rPr>
              <w:t>6</w:t>
            </w:r>
          </w:p>
        </w:tc>
        <w:tc>
          <w:tcPr>
            <w:tcW w:w="435" w:type="dxa"/>
            <w:noWrap w:val="0"/>
            <w:vAlign w:val="top"/>
          </w:tcPr>
          <w:p w14:paraId="7231A13A">
            <w:pPr>
              <w:ind w:right="-109" w:rightChars="-52"/>
              <w:rPr>
                <w:rFonts w:hint="eastAsia" w:ascii="宋体" w:hAnsi="宋体" w:eastAsia="宋体" w:cs="宋体"/>
                <w:sz w:val="24"/>
              </w:rPr>
            </w:pPr>
            <w:r>
              <w:rPr>
                <w:rFonts w:hint="eastAsia" w:ascii="宋体" w:hAnsi="宋体" w:eastAsia="宋体" w:cs="宋体"/>
                <w:sz w:val="24"/>
              </w:rPr>
              <w:t>7</w:t>
            </w:r>
          </w:p>
        </w:tc>
        <w:tc>
          <w:tcPr>
            <w:tcW w:w="435" w:type="dxa"/>
            <w:noWrap w:val="0"/>
            <w:vAlign w:val="top"/>
          </w:tcPr>
          <w:p w14:paraId="120BD7A7">
            <w:pPr>
              <w:ind w:right="-109" w:rightChars="-52"/>
              <w:rPr>
                <w:rFonts w:hint="eastAsia" w:ascii="宋体" w:hAnsi="宋体" w:eastAsia="宋体" w:cs="宋体"/>
                <w:sz w:val="24"/>
              </w:rPr>
            </w:pPr>
            <w:r>
              <w:rPr>
                <w:rFonts w:hint="eastAsia" w:ascii="宋体" w:hAnsi="宋体" w:eastAsia="宋体" w:cs="宋体"/>
                <w:sz w:val="24"/>
              </w:rPr>
              <w:t>8</w:t>
            </w:r>
          </w:p>
        </w:tc>
        <w:tc>
          <w:tcPr>
            <w:tcW w:w="435" w:type="dxa"/>
            <w:noWrap w:val="0"/>
            <w:vAlign w:val="top"/>
          </w:tcPr>
          <w:p w14:paraId="3B77A066">
            <w:pPr>
              <w:ind w:right="-109" w:rightChars="-52"/>
              <w:rPr>
                <w:rFonts w:hint="eastAsia" w:ascii="宋体" w:hAnsi="宋体" w:eastAsia="宋体" w:cs="宋体"/>
                <w:sz w:val="24"/>
              </w:rPr>
            </w:pPr>
            <w:r>
              <w:rPr>
                <w:rFonts w:hint="eastAsia" w:ascii="宋体" w:hAnsi="宋体" w:eastAsia="宋体" w:cs="宋体"/>
                <w:sz w:val="24"/>
              </w:rPr>
              <w:t>9</w:t>
            </w:r>
          </w:p>
        </w:tc>
        <w:tc>
          <w:tcPr>
            <w:tcW w:w="435" w:type="dxa"/>
            <w:noWrap w:val="0"/>
            <w:vAlign w:val="top"/>
          </w:tcPr>
          <w:p w14:paraId="19E8A2E4">
            <w:pPr>
              <w:ind w:right="-109" w:rightChars="-52"/>
              <w:rPr>
                <w:rFonts w:hint="eastAsia" w:ascii="宋体" w:hAnsi="宋体" w:eastAsia="宋体" w:cs="宋体"/>
                <w:sz w:val="24"/>
              </w:rPr>
            </w:pPr>
            <w:r>
              <w:rPr>
                <w:rFonts w:hint="eastAsia" w:ascii="宋体" w:hAnsi="宋体" w:eastAsia="宋体" w:cs="宋体"/>
                <w:sz w:val="24"/>
              </w:rPr>
              <w:t>10</w:t>
            </w:r>
          </w:p>
        </w:tc>
        <w:tc>
          <w:tcPr>
            <w:tcW w:w="435" w:type="dxa"/>
            <w:noWrap w:val="0"/>
            <w:vAlign w:val="top"/>
          </w:tcPr>
          <w:p w14:paraId="5BA9AE3F">
            <w:pPr>
              <w:ind w:right="-109" w:rightChars="-52"/>
              <w:rPr>
                <w:rFonts w:hint="eastAsia" w:ascii="宋体" w:hAnsi="宋体" w:eastAsia="宋体" w:cs="宋体"/>
                <w:sz w:val="24"/>
              </w:rPr>
            </w:pPr>
            <w:r>
              <w:rPr>
                <w:rFonts w:hint="eastAsia" w:ascii="宋体" w:hAnsi="宋体" w:eastAsia="宋体" w:cs="宋体"/>
                <w:sz w:val="24"/>
              </w:rPr>
              <w:t>11</w:t>
            </w:r>
          </w:p>
        </w:tc>
        <w:tc>
          <w:tcPr>
            <w:tcW w:w="435" w:type="dxa"/>
            <w:noWrap w:val="0"/>
            <w:vAlign w:val="top"/>
          </w:tcPr>
          <w:p w14:paraId="2DC5D92C">
            <w:pPr>
              <w:ind w:right="-109" w:rightChars="-52"/>
              <w:rPr>
                <w:rFonts w:hint="eastAsia" w:ascii="宋体" w:hAnsi="宋体" w:eastAsia="宋体" w:cs="宋体"/>
                <w:sz w:val="24"/>
              </w:rPr>
            </w:pPr>
            <w:r>
              <w:rPr>
                <w:rFonts w:hint="eastAsia" w:ascii="宋体" w:hAnsi="宋体" w:eastAsia="宋体" w:cs="宋体"/>
                <w:sz w:val="24"/>
              </w:rPr>
              <w:t>12</w:t>
            </w:r>
          </w:p>
        </w:tc>
      </w:tr>
      <w:tr w14:paraId="7B10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603F928B">
            <w:pPr>
              <w:ind w:right="-109" w:rightChars="-52"/>
              <w:rPr>
                <w:rFonts w:hint="eastAsia" w:ascii="宋体" w:hAnsi="宋体" w:eastAsia="宋体" w:cs="宋体"/>
                <w:sz w:val="24"/>
              </w:rPr>
            </w:pPr>
            <w:r>
              <w:rPr>
                <w:rFonts w:hint="eastAsia" w:ascii="宋体" w:hAnsi="宋体" w:eastAsia="宋体" w:cs="宋体"/>
                <w:sz w:val="24"/>
              </w:rPr>
              <w:t>机械室</w:t>
            </w:r>
          </w:p>
        </w:tc>
        <w:tc>
          <w:tcPr>
            <w:tcW w:w="2520" w:type="dxa"/>
            <w:noWrap w:val="0"/>
            <w:vAlign w:val="top"/>
          </w:tcPr>
          <w:p w14:paraId="333FC78F">
            <w:pPr>
              <w:ind w:right="-109" w:rightChars="-52"/>
              <w:rPr>
                <w:rFonts w:hint="eastAsia" w:ascii="宋体" w:hAnsi="宋体" w:eastAsia="宋体" w:cs="宋体"/>
                <w:sz w:val="24"/>
              </w:rPr>
            </w:pPr>
            <w:r>
              <w:rPr>
                <w:rFonts w:hint="eastAsia" w:ascii="宋体" w:hAnsi="宋体" w:eastAsia="宋体" w:cs="宋体"/>
                <w:sz w:val="24"/>
              </w:rPr>
              <w:t>环境清洁</w:t>
            </w:r>
          </w:p>
        </w:tc>
        <w:tc>
          <w:tcPr>
            <w:tcW w:w="435" w:type="dxa"/>
            <w:noWrap w:val="0"/>
            <w:vAlign w:val="top"/>
          </w:tcPr>
          <w:p w14:paraId="1E5BAE77">
            <w:pPr>
              <w:ind w:right="-109" w:rightChars="-52"/>
              <w:rPr>
                <w:rFonts w:hint="eastAsia" w:ascii="宋体" w:hAnsi="宋体" w:eastAsia="宋体" w:cs="宋体"/>
                <w:sz w:val="24"/>
              </w:rPr>
            </w:pPr>
          </w:p>
        </w:tc>
        <w:tc>
          <w:tcPr>
            <w:tcW w:w="435" w:type="dxa"/>
            <w:noWrap w:val="0"/>
            <w:vAlign w:val="top"/>
          </w:tcPr>
          <w:p w14:paraId="354229B9">
            <w:pPr>
              <w:ind w:right="-109" w:rightChars="-52"/>
              <w:rPr>
                <w:rFonts w:hint="eastAsia" w:ascii="宋体" w:hAnsi="宋体" w:eastAsia="宋体" w:cs="宋体"/>
                <w:sz w:val="24"/>
              </w:rPr>
            </w:pPr>
          </w:p>
        </w:tc>
        <w:tc>
          <w:tcPr>
            <w:tcW w:w="435" w:type="dxa"/>
            <w:noWrap w:val="0"/>
            <w:vAlign w:val="top"/>
          </w:tcPr>
          <w:p w14:paraId="64BEC33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1C57848">
            <w:pPr>
              <w:ind w:right="-109" w:rightChars="-52"/>
              <w:rPr>
                <w:rFonts w:hint="eastAsia" w:ascii="宋体" w:hAnsi="宋体" w:eastAsia="宋体" w:cs="宋体"/>
                <w:sz w:val="24"/>
              </w:rPr>
            </w:pPr>
          </w:p>
        </w:tc>
        <w:tc>
          <w:tcPr>
            <w:tcW w:w="435" w:type="dxa"/>
            <w:noWrap w:val="0"/>
            <w:vAlign w:val="top"/>
          </w:tcPr>
          <w:p w14:paraId="37A3493B">
            <w:pPr>
              <w:ind w:right="-109" w:rightChars="-52"/>
              <w:rPr>
                <w:rFonts w:hint="eastAsia" w:ascii="宋体" w:hAnsi="宋体" w:eastAsia="宋体" w:cs="宋体"/>
                <w:sz w:val="24"/>
              </w:rPr>
            </w:pPr>
          </w:p>
        </w:tc>
        <w:tc>
          <w:tcPr>
            <w:tcW w:w="435" w:type="dxa"/>
            <w:noWrap w:val="0"/>
            <w:vAlign w:val="top"/>
          </w:tcPr>
          <w:p w14:paraId="6464FE4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76FC6F3">
            <w:pPr>
              <w:ind w:right="-109" w:rightChars="-52"/>
              <w:rPr>
                <w:rFonts w:hint="eastAsia" w:ascii="宋体" w:hAnsi="宋体" w:eastAsia="宋体" w:cs="宋体"/>
                <w:sz w:val="24"/>
              </w:rPr>
            </w:pPr>
          </w:p>
        </w:tc>
        <w:tc>
          <w:tcPr>
            <w:tcW w:w="435" w:type="dxa"/>
            <w:noWrap w:val="0"/>
            <w:vAlign w:val="top"/>
          </w:tcPr>
          <w:p w14:paraId="0CA17F70">
            <w:pPr>
              <w:ind w:right="-109" w:rightChars="-52"/>
              <w:rPr>
                <w:rFonts w:hint="eastAsia" w:ascii="宋体" w:hAnsi="宋体" w:eastAsia="宋体" w:cs="宋体"/>
                <w:sz w:val="24"/>
              </w:rPr>
            </w:pPr>
          </w:p>
        </w:tc>
        <w:tc>
          <w:tcPr>
            <w:tcW w:w="435" w:type="dxa"/>
            <w:noWrap w:val="0"/>
            <w:vAlign w:val="top"/>
          </w:tcPr>
          <w:p w14:paraId="7D5577B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6BE9EC6">
            <w:pPr>
              <w:ind w:right="-109" w:rightChars="-52"/>
              <w:rPr>
                <w:rFonts w:hint="eastAsia" w:ascii="宋体" w:hAnsi="宋体" w:eastAsia="宋体" w:cs="宋体"/>
                <w:sz w:val="24"/>
              </w:rPr>
            </w:pPr>
          </w:p>
        </w:tc>
        <w:tc>
          <w:tcPr>
            <w:tcW w:w="435" w:type="dxa"/>
            <w:noWrap w:val="0"/>
            <w:vAlign w:val="top"/>
          </w:tcPr>
          <w:p w14:paraId="245E9ADC">
            <w:pPr>
              <w:ind w:right="-109" w:rightChars="-52"/>
              <w:rPr>
                <w:rFonts w:hint="eastAsia" w:ascii="宋体" w:hAnsi="宋体" w:eastAsia="宋体" w:cs="宋体"/>
                <w:sz w:val="24"/>
              </w:rPr>
            </w:pPr>
          </w:p>
        </w:tc>
        <w:tc>
          <w:tcPr>
            <w:tcW w:w="435" w:type="dxa"/>
            <w:noWrap w:val="0"/>
            <w:vAlign w:val="top"/>
          </w:tcPr>
          <w:p w14:paraId="25A7C965">
            <w:pPr>
              <w:ind w:right="-109" w:rightChars="-52"/>
              <w:rPr>
                <w:rFonts w:hint="eastAsia" w:ascii="宋体" w:hAnsi="宋体" w:eastAsia="宋体" w:cs="宋体"/>
                <w:sz w:val="24"/>
              </w:rPr>
            </w:pPr>
            <w:r>
              <w:rPr>
                <w:rFonts w:hint="eastAsia" w:ascii="宋体" w:hAnsi="宋体" w:eastAsia="宋体" w:cs="宋体"/>
                <w:sz w:val="24"/>
              </w:rPr>
              <w:t>o</w:t>
            </w:r>
          </w:p>
        </w:tc>
      </w:tr>
      <w:tr w14:paraId="21CB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4C30B4A4">
            <w:pPr>
              <w:ind w:right="-109" w:rightChars="-52"/>
              <w:rPr>
                <w:rFonts w:hint="eastAsia" w:ascii="宋体" w:hAnsi="宋体" w:eastAsia="宋体" w:cs="宋体"/>
                <w:sz w:val="24"/>
              </w:rPr>
            </w:pPr>
          </w:p>
        </w:tc>
        <w:tc>
          <w:tcPr>
            <w:tcW w:w="2520" w:type="dxa"/>
            <w:noWrap w:val="0"/>
            <w:vAlign w:val="top"/>
          </w:tcPr>
          <w:p w14:paraId="044E8CE7">
            <w:pPr>
              <w:ind w:right="-109" w:rightChars="-52"/>
              <w:rPr>
                <w:rFonts w:hint="eastAsia" w:ascii="宋体" w:hAnsi="宋体" w:eastAsia="宋体" w:cs="宋体"/>
                <w:sz w:val="24"/>
              </w:rPr>
            </w:pPr>
            <w:r>
              <w:rPr>
                <w:rFonts w:hint="eastAsia" w:ascii="宋体" w:hAnsi="宋体" w:eastAsia="宋体" w:cs="宋体"/>
                <w:sz w:val="24"/>
              </w:rPr>
              <w:t>主机马达</w:t>
            </w:r>
          </w:p>
        </w:tc>
        <w:tc>
          <w:tcPr>
            <w:tcW w:w="435" w:type="dxa"/>
            <w:noWrap w:val="0"/>
            <w:vAlign w:val="top"/>
          </w:tcPr>
          <w:p w14:paraId="765AACD4">
            <w:pPr>
              <w:ind w:right="-109" w:rightChars="-52"/>
              <w:rPr>
                <w:rFonts w:hint="eastAsia" w:ascii="宋体" w:hAnsi="宋体" w:eastAsia="宋体" w:cs="宋体"/>
                <w:sz w:val="24"/>
              </w:rPr>
            </w:pPr>
          </w:p>
        </w:tc>
        <w:tc>
          <w:tcPr>
            <w:tcW w:w="435" w:type="dxa"/>
            <w:noWrap w:val="0"/>
            <w:vAlign w:val="top"/>
          </w:tcPr>
          <w:p w14:paraId="0B852C9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BD0051B">
            <w:pPr>
              <w:ind w:right="-109" w:rightChars="-52"/>
              <w:rPr>
                <w:rFonts w:hint="eastAsia" w:ascii="宋体" w:hAnsi="宋体" w:eastAsia="宋体" w:cs="宋体"/>
                <w:sz w:val="24"/>
              </w:rPr>
            </w:pPr>
          </w:p>
        </w:tc>
        <w:tc>
          <w:tcPr>
            <w:tcW w:w="435" w:type="dxa"/>
            <w:noWrap w:val="0"/>
            <w:vAlign w:val="top"/>
          </w:tcPr>
          <w:p w14:paraId="330437F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F9EB521">
            <w:pPr>
              <w:ind w:right="-109" w:rightChars="-52"/>
              <w:rPr>
                <w:rFonts w:hint="eastAsia" w:ascii="宋体" w:hAnsi="宋体" w:eastAsia="宋体" w:cs="宋体"/>
                <w:sz w:val="24"/>
              </w:rPr>
            </w:pPr>
          </w:p>
        </w:tc>
        <w:tc>
          <w:tcPr>
            <w:tcW w:w="435" w:type="dxa"/>
            <w:noWrap w:val="0"/>
            <w:vAlign w:val="top"/>
          </w:tcPr>
          <w:p w14:paraId="34446D6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B953359">
            <w:pPr>
              <w:ind w:right="-109" w:rightChars="-52"/>
              <w:rPr>
                <w:rFonts w:hint="eastAsia" w:ascii="宋体" w:hAnsi="宋体" w:eastAsia="宋体" w:cs="宋体"/>
                <w:sz w:val="24"/>
              </w:rPr>
            </w:pPr>
          </w:p>
        </w:tc>
        <w:tc>
          <w:tcPr>
            <w:tcW w:w="435" w:type="dxa"/>
            <w:noWrap w:val="0"/>
            <w:vAlign w:val="top"/>
          </w:tcPr>
          <w:p w14:paraId="2E06BD9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5D6FD05">
            <w:pPr>
              <w:ind w:right="-109" w:rightChars="-52"/>
              <w:rPr>
                <w:rFonts w:hint="eastAsia" w:ascii="宋体" w:hAnsi="宋体" w:eastAsia="宋体" w:cs="宋体"/>
                <w:sz w:val="24"/>
              </w:rPr>
            </w:pPr>
          </w:p>
        </w:tc>
        <w:tc>
          <w:tcPr>
            <w:tcW w:w="435" w:type="dxa"/>
            <w:noWrap w:val="0"/>
            <w:vAlign w:val="top"/>
          </w:tcPr>
          <w:p w14:paraId="5C74E4C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47438F8">
            <w:pPr>
              <w:ind w:right="-109" w:rightChars="-52"/>
              <w:rPr>
                <w:rFonts w:hint="eastAsia" w:ascii="宋体" w:hAnsi="宋体" w:eastAsia="宋体" w:cs="宋体"/>
                <w:sz w:val="24"/>
              </w:rPr>
            </w:pPr>
          </w:p>
        </w:tc>
        <w:tc>
          <w:tcPr>
            <w:tcW w:w="435" w:type="dxa"/>
            <w:noWrap w:val="0"/>
            <w:vAlign w:val="top"/>
          </w:tcPr>
          <w:p w14:paraId="09CFD3A8">
            <w:pPr>
              <w:ind w:right="-109" w:rightChars="-52"/>
              <w:rPr>
                <w:rFonts w:hint="eastAsia" w:ascii="宋体" w:hAnsi="宋体" w:eastAsia="宋体" w:cs="宋体"/>
                <w:sz w:val="24"/>
              </w:rPr>
            </w:pPr>
            <w:r>
              <w:rPr>
                <w:rFonts w:hint="eastAsia" w:ascii="宋体" w:hAnsi="宋体" w:eastAsia="宋体" w:cs="宋体"/>
                <w:sz w:val="24"/>
              </w:rPr>
              <w:t>o</w:t>
            </w:r>
          </w:p>
        </w:tc>
      </w:tr>
      <w:tr w14:paraId="7B37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0CC65658">
            <w:pPr>
              <w:ind w:right="-109" w:rightChars="-52"/>
              <w:rPr>
                <w:rFonts w:hint="eastAsia" w:ascii="宋体" w:hAnsi="宋体" w:eastAsia="宋体" w:cs="宋体"/>
                <w:sz w:val="24"/>
              </w:rPr>
            </w:pPr>
          </w:p>
        </w:tc>
        <w:tc>
          <w:tcPr>
            <w:tcW w:w="2520" w:type="dxa"/>
            <w:noWrap w:val="0"/>
            <w:vAlign w:val="top"/>
          </w:tcPr>
          <w:p w14:paraId="286CCF00">
            <w:pPr>
              <w:ind w:right="-109" w:rightChars="-52"/>
              <w:rPr>
                <w:rFonts w:hint="eastAsia" w:ascii="宋体" w:hAnsi="宋体" w:eastAsia="宋体" w:cs="宋体"/>
                <w:sz w:val="24"/>
              </w:rPr>
            </w:pPr>
            <w:r>
              <w:rPr>
                <w:rFonts w:hint="eastAsia" w:ascii="宋体" w:hAnsi="宋体" w:eastAsia="宋体" w:cs="宋体"/>
                <w:sz w:val="24"/>
              </w:rPr>
              <w:t>偏向槽轮</w:t>
            </w:r>
          </w:p>
        </w:tc>
        <w:tc>
          <w:tcPr>
            <w:tcW w:w="435" w:type="dxa"/>
            <w:noWrap w:val="0"/>
            <w:vAlign w:val="top"/>
          </w:tcPr>
          <w:p w14:paraId="634BB652">
            <w:pPr>
              <w:ind w:right="-109" w:rightChars="-52"/>
              <w:rPr>
                <w:rFonts w:hint="eastAsia" w:ascii="宋体" w:hAnsi="宋体" w:eastAsia="宋体" w:cs="宋体"/>
                <w:sz w:val="24"/>
              </w:rPr>
            </w:pPr>
          </w:p>
        </w:tc>
        <w:tc>
          <w:tcPr>
            <w:tcW w:w="435" w:type="dxa"/>
            <w:noWrap w:val="0"/>
            <w:vAlign w:val="top"/>
          </w:tcPr>
          <w:p w14:paraId="326A3E7E">
            <w:pPr>
              <w:ind w:right="-109" w:rightChars="-52"/>
              <w:rPr>
                <w:rFonts w:hint="eastAsia" w:ascii="宋体" w:hAnsi="宋体" w:eastAsia="宋体" w:cs="宋体"/>
                <w:sz w:val="24"/>
              </w:rPr>
            </w:pPr>
          </w:p>
        </w:tc>
        <w:tc>
          <w:tcPr>
            <w:tcW w:w="435" w:type="dxa"/>
            <w:noWrap w:val="0"/>
            <w:vAlign w:val="top"/>
          </w:tcPr>
          <w:p w14:paraId="6C25B7F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5536A1D">
            <w:pPr>
              <w:ind w:right="-109" w:rightChars="-52"/>
              <w:rPr>
                <w:rFonts w:hint="eastAsia" w:ascii="宋体" w:hAnsi="宋体" w:eastAsia="宋体" w:cs="宋体"/>
                <w:sz w:val="24"/>
              </w:rPr>
            </w:pPr>
          </w:p>
        </w:tc>
        <w:tc>
          <w:tcPr>
            <w:tcW w:w="435" w:type="dxa"/>
            <w:noWrap w:val="0"/>
            <w:vAlign w:val="top"/>
          </w:tcPr>
          <w:p w14:paraId="2F8B10DB">
            <w:pPr>
              <w:ind w:right="-109" w:rightChars="-52"/>
              <w:rPr>
                <w:rFonts w:hint="eastAsia" w:ascii="宋体" w:hAnsi="宋体" w:eastAsia="宋体" w:cs="宋体"/>
                <w:sz w:val="24"/>
              </w:rPr>
            </w:pPr>
          </w:p>
        </w:tc>
        <w:tc>
          <w:tcPr>
            <w:tcW w:w="435" w:type="dxa"/>
            <w:noWrap w:val="0"/>
            <w:vAlign w:val="top"/>
          </w:tcPr>
          <w:p w14:paraId="157A22F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B7A32E4">
            <w:pPr>
              <w:ind w:right="-109" w:rightChars="-52"/>
              <w:rPr>
                <w:rFonts w:hint="eastAsia" w:ascii="宋体" w:hAnsi="宋体" w:eastAsia="宋体" w:cs="宋体"/>
                <w:sz w:val="24"/>
              </w:rPr>
            </w:pPr>
          </w:p>
        </w:tc>
        <w:tc>
          <w:tcPr>
            <w:tcW w:w="435" w:type="dxa"/>
            <w:noWrap w:val="0"/>
            <w:vAlign w:val="top"/>
          </w:tcPr>
          <w:p w14:paraId="096F8AAA">
            <w:pPr>
              <w:ind w:right="-109" w:rightChars="-52"/>
              <w:rPr>
                <w:rFonts w:hint="eastAsia" w:ascii="宋体" w:hAnsi="宋体" w:eastAsia="宋体" w:cs="宋体"/>
                <w:sz w:val="24"/>
              </w:rPr>
            </w:pPr>
          </w:p>
        </w:tc>
        <w:tc>
          <w:tcPr>
            <w:tcW w:w="435" w:type="dxa"/>
            <w:noWrap w:val="0"/>
            <w:vAlign w:val="top"/>
          </w:tcPr>
          <w:p w14:paraId="1C57BF0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5B9406B">
            <w:pPr>
              <w:ind w:right="-109" w:rightChars="-52"/>
              <w:rPr>
                <w:rFonts w:hint="eastAsia" w:ascii="宋体" w:hAnsi="宋体" w:eastAsia="宋体" w:cs="宋体"/>
                <w:sz w:val="24"/>
              </w:rPr>
            </w:pPr>
          </w:p>
        </w:tc>
        <w:tc>
          <w:tcPr>
            <w:tcW w:w="435" w:type="dxa"/>
            <w:noWrap w:val="0"/>
            <w:vAlign w:val="top"/>
          </w:tcPr>
          <w:p w14:paraId="68A66024">
            <w:pPr>
              <w:ind w:right="-109" w:rightChars="-52"/>
              <w:rPr>
                <w:rFonts w:hint="eastAsia" w:ascii="宋体" w:hAnsi="宋体" w:eastAsia="宋体" w:cs="宋体"/>
                <w:sz w:val="24"/>
              </w:rPr>
            </w:pPr>
          </w:p>
        </w:tc>
        <w:tc>
          <w:tcPr>
            <w:tcW w:w="435" w:type="dxa"/>
            <w:noWrap w:val="0"/>
            <w:vAlign w:val="top"/>
          </w:tcPr>
          <w:p w14:paraId="0EEC4492">
            <w:pPr>
              <w:ind w:right="-109" w:rightChars="-52"/>
              <w:rPr>
                <w:rFonts w:hint="eastAsia" w:ascii="宋体" w:hAnsi="宋体" w:eastAsia="宋体" w:cs="宋体"/>
                <w:sz w:val="24"/>
              </w:rPr>
            </w:pPr>
            <w:r>
              <w:rPr>
                <w:rFonts w:hint="eastAsia" w:ascii="宋体" w:hAnsi="宋体" w:eastAsia="宋体" w:cs="宋体"/>
                <w:sz w:val="24"/>
              </w:rPr>
              <w:t>o</w:t>
            </w:r>
          </w:p>
        </w:tc>
      </w:tr>
      <w:tr w14:paraId="3494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75EC2EEC">
            <w:pPr>
              <w:ind w:right="-109" w:rightChars="-52"/>
              <w:rPr>
                <w:rFonts w:hint="eastAsia" w:ascii="宋体" w:hAnsi="宋体" w:eastAsia="宋体" w:cs="宋体"/>
                <w:sz w:val="24"/>
              </w:rPr>
            </w:pPr>
          </w:p>
        </w:tc>
        <w:tc>
          <w:tcPr>
            <w:tcW w:w="2520" w:type="dxa"/>
            <w:noWrap w:val="0"/>
            <w:vAlign w:val="top"/>
          </w:tcPr>
          <w:p w14:paraId="678D3B64">
            <w:pPr>
              <w:ind w:right="-109" w:rightChars="-52"/>
              <w:rPr>
                <w:rFonts w:hint="eastAsia" w:ascii="宋体" w:hAnsi="宋体" w:eastAsia="宋体" w:cs="宋体"/>
                <w:sz w:val="24"/>
              </w:rPr>
            </w:pPr>
            <w:r>
              <w:rPr>
                <w:rFonts w:hint="eastAsia" w:ascii="宋体" w:hAnsi="宋体" w:eastAsia="宋体" w:cs="宋体"/>
                <w:sz w:val="24"/>
              </w:rPr>
              <w:t>控制柜</w:t>
            </w:r>
          </w:p>
        </w:tc>
        <w:tc>
          <w:tcPr>
            <w:tcW w:w="435" w:type="dxa"/>
            <w:noWrap w:val="0"/>
            <w:vAlign w:val="top"/>
          </w:tcPr>
          <w:p w14:paraId="6A0A68B1">
            <w:pPr>
              <w:ind w:right="-109" w:rightChars="-52"/>
              <w:rPr>
                <w:rFonts w:hint="eastAsia" w:ascii="宋体" w:hAnsi="宋体" w:eastAsia="宋体" w:cs="宋体"/>
                <w:sz w:val="24"/>
              </w:rPr>
            </w:pPr>
          </w:p>
        </w:tc>
        <w:tc>
          <w:tcPr>
            <w:tcW w:w="435" w:type="dxa"/>
            <w:noWrap w:val="0"/>
            <w:vAlign w:val="top"/>
          </w:tcPr>
          <w:p w14:paraId="51FABF0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DE61F3F">
            <w:pPr>
              <w:ind w:right="-109" w:rightChars="-52"/>
              <w:rPr>
                <w:rFonts w:hint="eastAsia" w:ascii="宋体" w:hAnsi="宋体" w:eastAsia="宋体" w:cs="宋体"/>
                <w:sz w:val="24"/>
              </w:rPr>
            </w:pPr>
          </w:p>
        </w:tc>
        <w:tc>
          <w:tcPr>
            <w:tcW w:w="435" w:type="dxa"/>
            <w:noWrap w:val="0"/>
            <w:vAlign w:val="top"/>
          </w:tcPr>
          <w:p w14:paraId="66E1835B">
            <w:pPr>
              <w:ind w:right="-109" w:rightChars="-52"/>
              <w:rPr>
                <w:rFonts w:hint="eastAsia" w:ascii="宋体" w:hAnsi="宋体" w:eastAsia="宋体" w:cs="宋体"/>
                <w:sz w:val="24"/>
              </w:rPr>
            </w:pPr>
          </w:p>
        </w:tc>
        <w:tc>
          <w:tcPr>
            <w:tcW w:w="435" w:type="dxa"/>
            <w:noWrap w:val="0"/>
            <w:vAlign w:val="top"/>
          </w:tcPr>
          <w:p w14:paraId="784685A4">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261B947">
            <w:pPr>
              <w:ind w:right="-109" w:rightChars="-52"/>
              <w:rPr>
                <w:rFonts w:hint="eastAsia" w:ascii="宋体" w:hAnsi="宋体" w:eastAsia="宋体" w:cs="宋体"/>
                <w:sz w:val="24"/>
              </w:rPr>
            </w:pPr>
          </w:p>
        </w:tc>
        <w:tc>
          <w:tcPr>
            <w:tcW w:w="435" w:type="dxa"/>
            <w:noWrap w:val="0"/>
            <w:vAlign w:val="top"/>
          </w:tcPr>
          <w:p w14:paraId="67DDA7C1">
            <w:pPr>
              <w:ind w:right="-109" w:rightChars="-52"/>
              <w:rPr>
                <w:rFonts w:hint="eastAsia" w:ascii="宋体" w:hAnsi="宋体" w:eastAsia="宋体" w:cs="宋体"/>
                <w:sz w:val="24"/>
              </w:rPr>
            </w:pPr>
          </w:p>
        </w:tc>
        <w:tc>
          <w:tcPr>
            <w:tcW w:w="435" w:type="dxa"/>
            <w:noWrap w:val="0"/>
            <w:vAlign w:val="top"/>
          </w:tcPr>
          <w:p w14:paraId="736983F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86127B2">
            <w:pPr>
              <w:ind w:right="-109" w:rightChars="-52"/>
              <w:rPr>
                <w:rFonts w:hint="eastAsia" w:ascii="宋体" w:hAnsi="宋体" w:eastAsia="宋体" w:cs="宋体"/>
                <w:sz w:val="24"/>
              </w:rPr>
            </w:pPr>
          </w:p>
        </w:tc>
        <w:tc>
          <w:tcPr>
            <w:tcW w:w="435" w:type="dxa"/>
            <w:noWrap w:val="0"/>
            <w:vAlign w:val="top"/>
          </w:tcPr>
          <w:p w14:paraId="73E2A2A6">
            <w:pPr>
              <w:ind w:right="-109" w:rightChars="-52"/>
              <w:rPr>
                <w:rFonts w:hint="eastAsia" w:ascii="宋体" w:hAnsi="宋体" w:eastAsia="宋体" w:cs="宋体"/>
                <w:sz w:val="24"/>
              </w:rPr>
            </w:pPr>
          </w:p>
        </w:tc>
        <w:tc>
          <w:tcPr>
            <w:tcW w:w="435" w:type="dxa"/>
            <w:noWrap w:val="0"/>
            <w:vAlign w:val="top"/>
          </w:tcPr>
          <w:p w14:paraId="72A981E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F31FDC">
            <w:pPr>
              <w:ind w:right="-109" w:rightChars="-52"/>
              <w:rPr>
                <w:rFonts w:hint="eastAsia" w:ascii="宋体" w:hAnsi="宋体" w:eastAsia="宋体" w:cs="宋体"/>
                <w:sz w:val="24"/>
              </w:rPr>
            </w:pPr>
          </w:p>
        </w:tc>
      </w:tr>
      <w:tr w14:paraId="2A6D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C029EA9">
            <w:pPr>
              <w:ind w:right="-109" w:rightChars="-52"/>
              <w:rPr>
                <w:rFonts w:hint="eastAsia" w:ascii="宋体" w:hAnsi="宋体" w:eastAsia="宋体" w:cs="宋体"/>
                <w:sz w:val="24"/>
              </w:rPr>
            </w:pPr>
          </w:p>
        </w:tc>
        <w:tc>
          <w:tcPr>
            <w:tcW w:w="2520" w:type="dxa"/>
            <w:noWrap w:val="0"/>
            <w:vAlign w:val="top"/>
          </w:tcPr>
          <w:p w14:paraId="58544C93">
            <w:pPr>
              <w:ind w:right="-109" w:rightChars="-52"/>
              <w:rPr>
                <w:rFonts w:hint="eastAsia" w:ascii="宋体" w:hAnsi="宋体" w:eastAsia="宋体" w:cs="宋体"/>
                <w:sz w:val="24"/>
              </w:rPr>
            </w:pPr>
            <w:r>
              <w:rPr>
                <w:rFonts w:hint="eastAsia" w:ascii="宋体" w:hAnsi="宋体" w:eastAsia="宋体" w:cs="宋体"/>
                <w:sz w:val="24"/>
              </w:rPr>
              <w:t>限速器</w:t>
            </w:r>
          </w:p>
        </w:tc>
        <w:tc>
          <w:tcPr>
            <w:tcW w:w="435" w:type="dxa"/>
            <w:noWrap w:val="0"/>
            <w:vAlign w:val="top"/>
          </w:tcPr>
          <w:p w14:paraId="5F7F3B6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68A71B6">
            <w:pPr>
              <w:ind w:right="-109" w:rightChars="-52"/>
              <w:rPr>
                <w:rFonts w:hint="eastAsia" w:ascii="宋体" w:hAnsi="宋体" w:eastAsia="宋体" w:cs="宋体"/>
                <w:sz w:val="24"/>
              </w:rPr>
            </w:pPr>
          </w:p>
        </w:tc>
        <w:tc>
          <w:tcPr>
            <w:tcW w:w="435" w:type="dxa"/>
            <w:noWrap w:val="0"/>
            <w:vAlign w:val="top"/>
          </w:tcPr>
          <w:p w14:paraId="12685A02">
            <w:pPr>
              <w:ind w:right="-109" w:rightChars="-52"/>
              <w:rPr>
                <w:rFonts w:hint="eastAsia" w:ascii="宋体" w:hAnsi="宋体" w:eastAsia="宋体" w:cs="宋体"/>
                <w:sz w:val="24"/>
              </w:rPr>
            </w:pPr>
          </w:p>
        </w:tc>
        <w:tc>
          <w:tcPr>
            <w:tcW w:w="435" w:type="dxa"/>
            <w:noWrap w:val="0"/>
            <w:vAlign w:val="top"/>
          </w:tcPr>
          <w:p w14:paraId="7478CB1F">
            <w:pPr>
              <w:ind w:right="-109" w:rightChars="-52"/>
              <w:rPr>
                <w:rFonts w:hint="eastAsia" w:ascii="宋体" w:hAnsi="宋体" w:eastAsia="宋体" w:cs="宋体"/>
                <w:sz w:val="24"/>
              </w:rPr>
            </w:pPr>
          </w:p>
        </w:tc>
        <w:tc>
          <w:tcPr>
            <w:tcW w:w="435" w:type="dxa"/>
            <w:noWrap w:val="0"/>
            <w:vAlign w:val="top"/>
          </w:tcPr>
          <w:p w14:paraId="248B1ABB">
            <w:pPr>
              <w:ind w:right="-109" w:rightChars="-52"/>
              <w:rPr>
                <w:rFonts w:hint="eastAsia" w:ascii="宋体" w:hAnsi="宋体" w:eastAsia="宋体" w:cs="宋体"/>
                <w:sz w:val="24"/>
              </w:rPr>
            </w:pPr>
          </w:p>
        </w:tc>
        <w:tc>
          <w:tcPr>
            <w:tcW w:w="435" w:type="dxa"/>
            <w:noWrap w:val="0"/>
            <w:vAlign w:val="top"/>
          </w:tcPr>
          <w:p w14:paraId="1E2EFA3D">
            <w:pPr>
              <w:ind w:right="-109" w:rightChars="-52"/>
              <w:rPr>
                <w:rFonts w:hint="eastAsia" w:ascii="宋体" w:hAnsi="宋体" w:eastAsia="宋体" w:cs="宋体"/>
                <w:sz w:val="24"/>
              </w:rPr>
            </w:pPr>
          </w:p>
        </w:tc>
        <w:tc>
          <w:tcPr>
            <w:tcW w:w="435" w:type="dxa"/>
            <w:noWrap w:val="0"/>
            <w:vAlign w:val="top"/>
          </w:tcPr>
          <w:p w14:paraId="17712CB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B7A0645">
            <w:pPr>
              <w:ind w:right="-109" w:rightChars="-52"/>
              <w:rPr>
                <w:rFonts w:hint="eastAsia" w:ascii="宋体" w:hAnsi="宋体" w:eastAsia="宋体" w:cs="宋体"/>
                <w:sz w:val="24"/>
              </w:rPr>
            </w:pPr>
          </w:p>
        </w:tc>
        <w:tc>
          <w:tcPr>
            <w:tcW w:w="435" w:type="dxa"/>
            <w:noWrap w:val="0"/>
            <w:vAlign w:val="top"/>
          </w:tcPr>
          <w:p w14:paraId="15E14963">
            <w:pPr>
              <w:ind w:right="-109" w:rightChars="-52"/>
              <w:rPr>
                <w:rFonts w:hint="eastAsia" w:ascii="宋体" w:hAnsi="宋体" w:eastAsia="宋体" w:cs="宋体"/>
                <w:sz w:val="24"/>
              </w:rPr>
            </w:pPr>
          </w:p>
        </w:tc>
        <w:tc>
          <w:tcPr>
            <w:tcW w:w="435" w:type="dxa"/>
            <w:noWrap w:val="0"/>
            <w:vAlign w:val="top"/>
          </w:tcPr>
          <w:p w14:paraId="63EACA53">
            <w:pPr>
              <w:ind w:right="-109" w:rightChars="-52"/>
              <w:rPr>
                <w:rFonts w:hint="eastAsia" w:ascii="宋体" w:hAnsi="宋体" w:eastAsia="宋体" w:cs="宋体"/>
                <w:sz w:val="24"/>
              </w:rPr>
            </w:pPr>
          </w:p>
        </w:tc>
        <w:tc>
          <w:tcPr>
            <w:tcW w:w="435" w:type="dxa"/>
            <w:noWrap w:val="0"/>
            <w:vAlign w:val="top"/>
          </w:tcPr>
          <w:p w14:paraId="075165F8">
            <w:pPr>
              <w:ind w:right="-109" w:rightChars="-52"/>
              <w:rPr>
                <w:rFonts w:hint="eastAsia" w:ascii="宋体" w:hAnsi="宋体" w:eastAsia="宋体" w:cs="宋体"/>
                <w:sz w:val="24"/>
              </w:rPr>
            </w:pPr>
          </w:p>
        </w:tc>
        <w:tc>
          <w:tcPr>
            <w:tcW w:w="435" w:type="dxa"/>
            <w:noWrap w:val="0"/>
            <w:vAlign w:val="top"/>
          </w:tcPr>
          <w:p w14:paraId="654C34B6">
            <w:pPr>
              <w:ind w:right="-109" w:rightChars="-52"/>
              <w:rPr>
                <w:rFonts w:hint="eastAsia" w:ascii="宋体" w:hAnsi="宋体" w:eastAsia="宋体" w:cs="宋体"/>
                <w:sz w:val="24"/>
              </w:rPr>
            </w:pPr>
          </w:p>
        </w:tc>
      </w:tr>
      <w:tr w14:paraId="13BB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02B6F4A5">
            <w:pPr>
              <w:ind w:right="-109" w:rightChars="-52"/>
              <w:rPr>
                <w:rFonts w:hint="eastAsia" w:ascii="宋体" w:hAnsi="宋体" w:eastAsia="宋体" w:cs="宋体"/>
                <w:sz w:val="24"/>
              </w:rPr>
            </w:pPr>
          </w:p>
        </w:tc>
        <w:tc>
          <w:tcPr>
            <w:tcW w:w="2520" w:type="dxa"/>
            <w:noWrap w:val="0"/>
            <w:vAlign w:val="top"/>
          </w:tcPr>
          <w:p w14:paraId="0C7A89E9">
            <w:pPr>
              <w:ind w:right="-109" w:rightChars="-52"/>
              <w:rPr>
                <w:rFonts w:hint="eastAsia" w:ascii="宋体" w:hAnsi="宋体" w:eastAsia="宋体" w:cs="宋体"/>
                <w:sz w:val="24"/>
              </w:rPr>
            </w:pPr>
            <w:r>
              <w:rPr>
                <w:rFonts w:hint="eastAsia" w:ascii="宋体" w:hAnsi="宋体" w:eastAsia="宋体" w:cs="宋体"/>
                <w:sz w:val="24"/>
              </w:rPr>
              <w:t>齿轮油</w:t>
            </w:r>
          </w:p>
        </w:tc>
        <w:tc>
          <w:tcPr>
            <w:tcW w:w="435" w:type="dxa"/>
            <w:noWrap w:val="0"/>
            <w:vAlign w:val="top"/>
          </w:tcPr>
          <w:p w14:paraId="396008F0">
            <w:pPr>
              <w:ind w:right="-109" w:rightChars="-52"/>
              <w:rPr>
                <w:rFonts w:hint="eastAsia" w:ascii="宋体" w:hAnsi="宋体" w:eastAsia="宋体" w:cs="宋体"/>
                <w:sz w:val="24"/>
              </w:rPr>
            </w:pPr>
          </w:p>
        </w:tc>
        <w:tc>
          <w:tcPr>
            <w:tcW w:w="435" w:type="dxa"/>
            <w:noWrap w:val="0"/>
            <w:vAlign w:val="top"/>
          </w:tcPr>
          <w:p w14:paraId="65C00031">
            <w:pPr>
              <w:ind w:right="-109" w:rightChars="-52"/>
              <w:rPr>
                <w:rFonts w:hint="eastAsia" w:ascii="宋体" w:hAnsi="宋体" w:eastAsia="宋体" w:cs="宋体"/>
                <w:sz w:val="24"/>
              </w:rPr>
            </w:pPr>
          </w:p>
        </w:tc>
        <w:tc>
          <w:tcPr>
            <w:tcW w:w="435" w:type="dxa"/>
            <w:noWrap w:val="0"/>
            <w:vAlign w:val="top"/>
          </w:tcPr>
          <w:p w14:paraId="16252132">
            <w:pPr>
              <w:ind w:right="-109" w:rightChars="-52"/>
              <w:rPr>
                <w:rFonts w:hint="eastAsia" w:ascii="宋体" w:hAnsi="宋体" w:eastAsia="宋体" w:cs="宋体"/>
                <w:sz w:val="24"/>
              </w:rPr>
            </w:pPr>
          </w:p>
        </w:tc>
        <w:tc>
          <w:tcPr>
            <w:tcW w:w="435" w:type="dxa"/>
            <w:noWrap w:val="0"/>
            <w:vAlign w:val="top"/>
          </w:tcPr>
          <w:p w14:paraId="5E462778">
            <w:pPr>
              <w:ind w:right="-109" w:rightChars="-52"/>
              <w:rPr>
                <w:rFonts w:hint="eastAsia" w:ascii="宋体" w:hAnsi="宋体" w:eastAsia="宋体" w:cs="宋体"/>
                <w:sz w:val="24"/>
              </w:rPr>
            </w:pPr>
          </w:p>
        </w:tc>
        <w:tc>
          <w:tcPr>
            <w:tcW w:w="435" w:type="dxa"/>
            <w:noWrap w:val="0"/>
            <w:vAlign w:val="top"/>
          </w:tcPr>
          <w:p w14:paraId="0E073D57">
            <w:pPr>
              <w:ind w:right="-109" w:rightChars="-52"/>
              <w:rPr>
                <w:rFonts w:hint="eastAsia" w:ascii="宋体" w:hAnsi="宋体" w:eastAsia="宋体" w:cs="宋体"/>
                <w:sz w:val="24"/>
              </w:rPr>
            </w:pPr>
          </w:p>
        </w:tc>
        <w:tc>
          <w:tcPr>
            <w:tcW w:w="435" w:type="dxa"/>
            <w:noWrap w:val="0"/>
            <w:vAlign w:val="top"/>
          </w:tcPr>
          <w:p w14:paraId="4E063294">
            <w:pPr>
              <w:ind w:right="-109" w:rightChars="-52"/>
              <w:rPr>
                <w:rFonts w:hint="eastAsia" w:ascii="宋体" w:hAnsi="宋体" w:eastAsia="宋体" w:cs="宋体"/>
                <w:sz w:val="24"/>
              </w:rPr>
            </w:pPr>
          </w:p>
        </w:tc>
        <w:tc>
          <w:tcPr>
            <w:tcW w:w="435" w:type="dxa"/>
            <w:noWrap w:val="0"/>
            <w:vAlign w:val="top"/>
          </w:tcPr>
          <w:p w14:paraId="3A7B433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C8805BD">
            <w:pPr>
              <w:ind w:right="-109" w:rightChars="-52"/>
              <w:rPr>
                <w:rFonts w:hint="eastAsia" w:ascii="宋体" w:hAnsi="宋体" w:eastAsia="宋体" w:cs="宋体"/>
                <w:sz w:val="24"/>
              </w:rPr>
            </w:pPr>
          </w:p>
        </w:tc>
        <w:tc>
          <w:tcPr>
            <w:tcW w:w="435" w:type="dxa"/>
            <w:noWrap w:val="0"/>
            <w:vAlign w:val="top"/>
          </w:tcPr>
          <w:p w14:paraId="0ECEB82A">
            <w:pPr>
              <w:ind w:right="-109" w:rightChars="-52"/>
              <w:rPr>
                <w:rFonts w:hint="eastAsia" w:ascii="宋体" w:hAnsi="宋体" w:eastAsia="宋体" w:cs="宋体"/>
                <w:sz w:val="24"/>
              </w:rPr>
            </w:pPr>
          </w:p>
        </w:tc>
        <w:tc>
          <w:tcPr>
            <w:tcW w:w="435" w:type="dxa"/>
            <w:noWrap w:val="0"/>
            <w:vAlign w:val="top"/>
          </w:tcPr>
          <w:p w14:paraId="2CEB4F24">
            <w:pPr>
              <w:ind w:right="-109" w:rightChars="-52"/>
              <w:rPr>
                <w:rFonts w:hint="eastAsia" w:ascii="宋体" w:hAnsi="宋体" w:eastAsia="宋体" w:cs="宋体"/>
                <w:sz w:val="24"/>
              </w:rPr>
            </w:pPr>
          </w:p>
        </w:tc>
        <w:tc>
          <w:tcPr>
            <w:tcW w:w="435" w:type="dxa"/>
            <w:noWrap w:val="0"/>
            <w:vAlign w:val="top"/>
          </w:tcPr>
          <w:p w14:paraId="17BF1A4C">
            <w:pPr>
              <w:ind w:right="-109" w:rightChars="-52"/>
              <w:rPr>
                <w:rFonts w:hint="eastAsia" w:ascii="宋体" w:hAnsi="宋体" w:eastAsia="宋体" w:cs="宋体"/>
                <w:sz w:val="24"/>
              </w:rPr>
            </w:pPr>
          </w:p>
        </w:tc>
        <w:tc>
          <w:tcPr>
            <w:tcW w:w="435" w:type="dxa"/>
            <w:noWrap w:val="0"/>
            <w:vAlign w:val="top"/>
          </w:tcPr>
          <w:p w14:paraId="2173B5F3">
            <w:pPr>
              <w:ind w:right="-109" w:rightChars="-52"/>
              <w:rPr>
                <w:rFonts w:hint="eastAsia" w:ascii="宋体" w:hAnsi="宋体" w:eastAsia="宋体" w:cs="宋体"/>
                <w:sz w:val="24"/>
              </w:rPr>
            </w:pPr>
          </w:p>
        </w:tc>
      </w:tr>
      <w:tr w14:paraId="6586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681FC9C8">
            <w:pPr>
              <w:ind w:right="-109" w:rightChars="-52"/>
              <w:rPr>
                <w:rFonts w:hint="eastAsia" w:ascii="宋体" w:hAnsi="宋体" w:eastAsia="宋体" w:cs="宋体"/>
                <w:sz w:val="24"/>
              </w:rPr>
            </w:pPr>
            <w:r>
              <w:rPr>
                <w:rFonts w:hint="eastAsia" w:ascii="宋体" w:hAnsi="宋体" w:eastAsia="宋体" w:cs="宋体"/>
                <w:sz w:val="24"/>
              </w:rPr>
              <w:t>轿顶</w:t>
            </w:r>
          </w:p>
        </w:tc>
        <w:tc>
          <w:tcPr>
            <w:tcW w:w="2520" w:type="dxa"/>
            <w:noWrap w:val="0"/>
            <w:vAlign w:val="top"/>
          </w:tcPr>
          <w:p w14:paraId="2286F833">
            <w:pPr>
              <w:ind w:right="-109" w:rightChars="-52"/>
              <w:rPr>
                <w:rFonts w:hint="eastAsia" w:ascii="宋体" w:hAnsi="宋体" w:eastAsia="宋体" w:cs="宋体"/>
                <w:sz w:val="24"/>
              </w:rPr>
            </w:pPr>
            <w:r>
              <w:rPr>
                <w:rFonts w:hint="eastAsia" w:ascii="宋体" w:hAnsi="宋体" w:eastAsia="宋体" w:cs="宋体"/>
                <w:sz w:val="24"/>
              </w:rPr>
              <w:t>环境清洁</w:t>
            </w:r>
          </w:p>
        </w:tc>
        <w:tc>
          <w:tcPr>
            <w:tcW w:w="435" w:type="dxa"/>
            <w:noWrap w:val="0"/>
            <w:vAlign w:val="top"/>
          </w:tcPr>
          <w:p w14:paraId="026B254B">
            <w:pPr>
              <w:ind w:right="-109" w:rightChars="-52"/>
              <w:rPr>
                <w:rFonts w:hint="eastAsia" w:ascii="宋体" w:hAnsi="宋体" w:eastAsia="宋体" w:cs="宋体"/>
                <w:sz w:val="24"/>
              </w:rPr>
            </w:pPr>
          </w:p>
        </w:tc>
        <w:tc>
          <w:tcPr>
            <w:tcW w:w="435" w:type="dxa"/>
            <w:noWrap w:val="0"/>
            <w:vAlign w:val="top"/>
          </w:tcPr>
          <w:p w14:paraId="1A5B6496">
            <w:pPr>
              <w:ind w:right="-109" w:rightChars="-52"/>
              <w:rPr>
                <w:rFonts w:hint="eastAsia" w:ascii="宋体" w:hAnsi="宋体" w:eastAsia="宋体" w:cs="宋体"/>
                <w:sz w:val="24"/>
              </w:rPr>
            </w:pPr>
          </w:p>
        </w:tc>
        <w:tc>
          <w:tcPr>
            <w:tcW w:w="435" w:type="dxa"/>
            <w:noWrap w:val="0"/>
            <w:vAlign w:val="top"/>
          </w:tcPr>
          <w:p w14:paraId="29658DFB">
            <w:pPr>
              <w:ind w:right="-109" w:rightChars="-52"/>
              <w:rPr>
                <w:rFonts w:hint="eastAsia" w:ascii="宋体" w:hAnsi="宋体" w:eastAsia="宋体" w:cs="宋体"/>
                <w:sz w:val="24"/>
              </w:rPr>
            </w:pPr>
          </w:p>
        </w:tc>
        <w:tc>
          <w:tcPr>
            <w:tcW w:w="435" w:type="dxa"/>
            <w:noWrap w:val="0"/>
            <w:vAlign w:val="top"/>
          </w:tcPr>
          <w:p w14:paraId="50AB5344">
            <w:pPr>
              <w:ind w:right="-109" w:rightChars="-52"/>
              <w:rPr>
                <w:rFonts w:hint="eastAsia" w:ascii="宋体" w:hAnsi="宋体" w:eastAsia="宋体" w:cs="宋体"/>
                <w:sz w:val="24"/>
              </w:rPr>
            </w:pPr>
          </w:p>
        </w:tc>
        <w:tc>
          <w:tcPr>
            <w:tcW w:w="435" w:type="dxa"/>
            <w:noWrap w:val="0"/>
            <w:vAlign w:val="top"/>
          </w:tcPr>
          <w:p w14:paraId="663CA65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49D5A2F">
            <w:pPr>
              <w:ind w:right="-109" w:rightChars="-52"/>
              <w:rPr>
                <w:rFonts w:hint="eastAsia" w:ascii="宋体" w:hAnsi="宋体" w:eastAsia="宋体" w:cs="宋体"/>
                <w:sz w:val="24"/>
              </w:rPr>
            </w:pPr>
          </w:p>
        </w:tc>
        <w:tc>
          <w:tcPr>
            <w:tcW w:w="435" w:type="dxa"/>
            <w:noWrap w:val="0"/>
            <w:vAlign w:val="top"/>
          </w:tcPr>
          <w:p w14:paraId="2C7EAC84">
            <w:pPr>
              <w:ind w:right="-109" w:rightChars="-52"/>
              <w:rPr>
                <w:rFonts w:hint="eastAsia" w:ascii="宋体" w:hAnsi="宋体" w:eastAsia="宋体" w:cs="宋体"/>
                <w:sz w:val="24"/>
              </w:rPr>
            </w:pPr>
          </w:p>
        </w:tc>
        <w:tc>
          <w:tcPr>
            <w:tcW w:w="435" w:type="dxa"/>
            <w:noWrap w:val="0"/>
            <w:vAlign w:val="top"/>
          </w:tcPr>
          <w:p w14:paraId="3E5BEE99">
            <w:pPr>
              <w:ind w:right="-109" w:rightChars="-52"/>
              <w:rPr>
                <w:rFonts w:hint="eastAsia" w:ascii="宋体" w:hAnsi="宋体" w:eastAsia="宋体" w:cs="宋体"/>
                <w:sz w:val="24"/>
              </w:rPr>
            </w:pPr>
          </w:p>
        </w:tc>
        <w:tc>
          <w:tcPr>
            <w:tcW w:w="435" w:type="dxa"/>
            <w:noWrap w:val="0"/>
            <w:vAlign w:val="top"/>
          </w:tcPr>
          <w:p w14:paraId="1C155E2E">
            <w:pPr>
              <w:ind w:right="-109" w:rightChars="-52"/>
              <w:rPr>
                <w:rFonts w:hint="eastAsia" w:ascii="宋体" w:hAnsi="宋体" w:eastAsia="宋体" w:cs="宋体"/>
                <w:sz w:val="24"/>
              </w:rPr>
            </w:pPr>
          </w:p>
        </w:tc>
        <w:tc>
          <w:tcPr>
            <w:tcW w:w="435" w:type="dxa"/>
            <w:noWrap w:val="0"/>
            <w:vAlign w:val="top"/>
          </w:tcPr>
          <w:p w14:paraId="3BB29253">
            <w:pPr>
              <w:ind w:right="-109" w:rightChars="-52"/>
              <w:rPr>
                <w:rFonts w:hint="eastAsia" w:ascii="宋体" w:hAnsi="宋体" w:eastAsia="宋体" w:cs="宋体"/>
                <w:sz w:val="24"/>
              </w:rPr>
            </w:pPr>
          </w:p>
        </w:tc>
        <w:tc>
          <w:tcPr>
            <w:tcW w:w="435" w:type="dxa"/>
            <w:noWrap w:val="0"/>
            <w:vAlign w:val="top"/>
          </w:tcPr>
          <w:p w14:paraId="453655F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6EB5797">
            <w:pPr>
              <w:ind w:right="-109" w:rightChars="-52"/>
              <w:rPr>
                <w:rFonts w:hint="eastAsia" w:ascii="宋体" w:hAnsi="宋体" w:eastAsia="宋体" w:cs="宋体"/>
                <w:sz w:val="24"/>
              </w:rPr>
            </w:pPr>
          </w:p>
        </w:tc>
      </w:tr>
      <w:tr w14:paraId="46AE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313C3EBD">
            <w:pPr>
              <w:ind w:right="-109" w:rightChars="-52"/>
              <w:rPr>
                <w:rFonts w:hint="eastAsia" w:ascii="宋体" w:hAnsi="宋体" w:eastAsia="宋体" w:cs="宋体"/>
                <w:sz w:val="24"/>
              </w:rPr>
            </w:pPr>
          </w:p>
        </w:tc>
        <w:tc>
          <w:tcPr>
            <w:tcW w:w="2520" w:type="dxa"/>
            <w:noWrap w:val="0"/>
            <w:vAlign w:val="top"/>
          </w:tcPr>
          <w:p w14:paraId="66489819">
            <w:pPr>
              <w:ind w:right="-109" w:rightChars="-52"/>
              <w:rPr>
                <w:rFonts w:hint="eastAsia" w:ascii="宋体" w:hAnsi="宋体" w:eastAsia="宋体" w:cs="宋体"/>
                <w:sz w:val="24"/>
              </w:rPr>
            </w:pPr>
            <w:r>
              <w:rPr>
                <w:rFonts w:hint="eastAsia" w:ascii="宋体" w:hAnsi="宋体" w:eastAsia="宋体" w:cs="宋体"/>
                <w:sz w:val="24"/>
              </w:rPr>
              <w:t>配电箱</w:t>
            </w:r>
          </w:p>
        </w:tc>
        <w:tc>
          <w:tcPr>
            <w:tcW w:w="435" w:type="dxa"/>
            <w:noWrap w:val="0"/>
            <w:vAlign w:val="top"/>
          </w:tcPr>
          <w:p w14:paraId="4D20A145">
            <w:pPr>
              <w:ind w:right="-109" w:rightChars="-52"/>
              <w:rPr>
                <w:rFonts w:hint="eastAsia" w:ascii="宋体" w:hAnsi="宋体" w:eastAsia="宋体" w:cs="宋体"/>
                <w:sz w:val="24"/>
              </w:rPr>
            </w:pPr>
          </w:p>
        </w:tc>
        <w:tc>
          <w:tcPr>
            <w:tcW w:w="435" w:type="dxa"/>
            <w:noWrap w:val="0"/>
            <w:vAlign w:val="top"/>
          </w:tcPr>
          <w:p w14:paraId="4163CA7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069ECDC">
            <w:pPr>
              <w:ind w:right="-109" w:rightChars="-52"/>
              <w:rPr>
                <w:rFonts w:hint="eastAsia" w:ascii="宋体" w:hAnsi="宋体" w:eastAsia="宋体" w:cs="宋体"/>
                <w:sz w:val="24"/>
              </w:rPr>
            </w:pPr>
          </w:p>
        </w:tc>
        <w:tc>
          <w:tcPr>
            <w:tcW w:w="435" w:type="dxa"/>
            <w:noWrap w:val="0"/>
            <w:vAlign w:val="top"/>
          </w:tcPr>
          <w:p w14:paraId="4B2BD7B6">
            <w:pPr>
              <w:ind w:right="-109" w:rightChars="-52"/>
              <w:rPr>
                <w:rFonts w:hint="eastAsia" w:ascii="宋体" w:hAnsi="宋体" w:eastAsia="宋体" w:cs="宋体"/>
                <w:sz w:val="24"/>
              </w:rPr>
            </w:pPr>
          </w:p>
        </w:tc>
        <w:tc>
          <w:tcPr>
            <w:tcW w:w="435" w:type="dxa"/>
            <w:noWrap w:val="0"/>
            <w:vAlign w:val="top"/>
          </w:tcPr>
          <w:p w14:paraId="1409DA6E">
            <w:pPr>
              <w:ind w:right="-109" w:rightChars="-52"/>
              <w:rPr>
                <w:rFonts w:hint="eastAsia" w:ascii="宋体" w:hAnsi="宋体" w:eastAsia="宋体" w:cs="宋体"/>
                <w:sz w:val="24"/>
              </w:rPr>
            </w:pPr>
          </w:p>
        </w:tc>
        <w:tc>
          <w:tcPr>
            <w:tcW w:w="435" w:type="dxa"/>
            <w:noWrap w:val="0"/>
            <w:vAlign w:val="top"/>
          </w:tcPr>
          <w:p w14:paraId="26C9D966">
            <w:pPr>
              <w:ind w:right="-109" w:rightChars="-52"/>
              <w:rPr>
                <w:rFonts w:hint="eastAsia" w:ascii="宋体" w:hAnsi="宋体" w:eastAsia="宋体" w:cs="宋体"/>
                <w:sz w:val="24"/>
              </w:rPr>
            </w:pPr>
          </w:p>
        </w:tc>
        <w:tc>
          <w:tcPr>
            <w:tcW w:w="435" w:type="dxa"/>
            <w:noWrap w:val="0"/>
            <w:vAlign w:val="top"/>
          </w:tcPr>
          <w:p w14:paraId="3284278C">
            <w:pPr>
              <w:ind w:right="-109" w:rightChars="-52"/>
              <w:rPr>
                <w:rFonts w:hint="eastAsia" w:ascii="宋体" w:hAnsi="宋体" w:eastAsia="宋体" w:cs="宋体"/>
                <w:sz w:val="24"/>
              </w:rPr>
            </w:pPr>
          </w:p>
        </w:tc>
        <w:tc>
          <w:tcPr>
            <w:tcW w:w="435" w:type="dxa"/>
            <w:noWrap w:val="0"/>
            <w:vAlign w:val="top"/>
          </w:tcPr>
          <w:p w14:paraId="66D763B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D1E4A1B">
            <w:pPr>
              <w:ind w:right="-109" w:rightChars="-52"/>
              <w:rPr>
                <w:rFonts w:hint="eastAsia" w:ascii="宋体" w:hAnsi="宋体" w:eastAsia="宋体" w:cs="宋体"/>
                <w:sz w:val="24"/>
              </w:rPr>
            </w:pPr>
          </w:p>
        </w:tc>
        <w:tc>
          <w:tcPr>
            <w:tcW w:w="435" w:type="dxa"/>
            <w:noWrap w:val="0"/>
            <w:vAlign w:val="top"/>
          </w:tcPr>
          <w:p w14:paraId="1A02F20B">
            <w:pPr>
              <w:ind w:right="-109" w:rightChars="-52"/>
              <w:rPr>
                <w:rFonts w:hint="eastAsia" w:ascii="宋体" w:hAnsi="宋体" w:eastAsia="宋体" w:cs="宋体"/>
                <w:sz w:val="24"/>
              </w:rPr>
            </w:pPr>
          </w:p>
        </w:tc>
        <w:tc>
          <w:tcPr>
            <w:tcW w:w="435" w:type="dxa"/>
            <w:noWrap w:val="0"/>
            <w:vAlign w:val="top"/>
          </w:tcPr>
          <w:p w14:paraId="67B3D669">
            <w:pPr>
              <w:ind w:right="-109" w:rightChars="-52"/>
              <w:rPr>
                <w:rFonts w:hint="eastAsia" w:ascii="宋体" w:hAnsi="宋体" w:eastAsia="宋体" w:cs="宋体"/>
                <w:sz w:val="24"/>
              </w:rPr>
            </w:pPr>
          </w:p>
        </w:tc>
        <w:tc>
          <w:tcPr>
            <w:tcW w:w="435" w:type="dxa"/>
            <w:noWrap w:val="0"/>
            <w:vAlign w:val="top"/>
          </w:tcPr>
          <w:p w14:paraId="1C686845">
            <w:pPr>
              <w:ind w:right="-109" w:rightChars="-52"/>
              <w:rPr>
                <w:rFonts w:hint="eastAsia" w:ascii="宋体" w:hAnsi="宋体" w:eastAsia="宋体" w:cs="宋体"/>
                <w:sz w:val="24"/>
              </w:rPr>
            </w:pPr>
          </w:p>
        </w:tc>
      </w:tr>
      <w:tr w14:paraId="4CCD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7DEF2C78">
            <w:pPr>
              <w:ind w:right="-109" w:rightChars="-52"/>
              <w:rPr>
                <w:rFonts w:hint="eastAsia" w:ascii="宋体" w:hAnsi="宋体" w:eastAsia="宋体" w:cs="宋体"/>
                <w:sz w:val="24"/>
              </w:rPr>
            </w:pPr>
          </w:p>
        </w:tc>
        <w:tc>
          <w:tcPr>
            <w:tcW w:w="2520" w:type="dxa"/>
            <w:noWrap w:val="0"/>
            <w:vAlign w:val="top"/>
          </w:tcPr>
          <w:p w14:paraId="1C9149F1">
            <w:pPr>
              <w:ind w:right="-109" w:rightChars="-52"/>
              <w:rPr>
                <w:rFonts w:hint="eastAsia" w:ascii="宋体" w:hAnsi="宋体" w:eastAsia="宋体" w:cs="宋体"/>
                <w:sz w:val="24"/>
              </w:rPr>
            </w:pPr>
            <w:r>
              <w:rPr>
                <w:rFonts w:hint="eastAsia" w:ascii="宋体" w:hAnsi="宋体" w:eastAsia="宋体" w:cs="宋体"/>
                <w:sz w:val="24"/>
              </w:rPr>
              <w:t>安全开关</w:t>
            </w:r>
          </w:p>
        </w:tc>
        <w:tc>
          <w:tcPr>
            <w:tcW w:w="435" w:type="dxa"/>
            <w:noWrap w:val="0"/>
            <w:vAlign w:val="top"/>
          </w:tcPr>
          <w:p w14:paraId="4FDE0E8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ACD370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A7FA87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6C22D8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139A57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7DCF10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45C022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206CAF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E3E84D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CDCE77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737AD0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0532E47">
            <w:pPr>
              <w:ind w:right="-109" w:rightChars="-52"/>
              <w:rPr>
                <w:rFonts w:hint="eastAsia" w:ascii="宋体" w:hAnsi="宋体" w:eastAsia="宋体" w:cs="宋体"/>
                <w:sz w:val="24"/>
              </w:rPr>
            </w:pPr>
            <w:r>
              <w:rPr>
                <w:rFonts w:hint="eastAsia" w:ascii="宋体" w:hAnsi="宋体" w:eastAsia="宋体" w:cs="宋体"/>
                <w:sz w:val="24"/>
              </w:rPr>
              <w:t>o</w:t>
            </w:r>
          </w:p>
        </w:tc>
      </w:tr>
      <w:tr w14:paraId="637E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33473C5B">
            <w:pPr>
              <w:ind w:right="-109" w:rightChars="-52"/>
              <w:rPr>
                <w:rFonts w:hint="eastAsia" w:ascii="宋体" w:hAnsi="宋体" w:eastAsia="宋体" w:cs="宋体"/>
                <w:sz w:val="24"/>
              </w:rPr>
            </w:pPr>
          </w:p>
        </w:tc>
        <w:tc>
          <w:tcPr>
            <w:tcW w:w="2520" w:type="dxa"/>
            <w:noWrap w:val="0"/>
            <w:vAlign w:val="top"/>
          </w:tcPr>
          <w:p w14:paraId="6F6E2333">
            <w:pPr>
              <w:ind w:right="-109" w:rightChars="-52"/>
              <w:rPr>
                <w:rFonts w:hint="eastAsia" w:ascii="宋体" w:hAnsi="宋体" w:eastAsia="宋体" w:cs="宋体"/>
                <w:sz w:val="24"/>
              </w:rPr>
            </w:pPr>
            <w:r>
              <w:rPr>
                <w:rFonts w:hint="eastAsia" w:ascii="宋体" w:hAnsi="宋体" w:eastAsia="宋体" w:cs="宋体"/>
                <w:sz w:val="24"/>
              </w:rPr>
              <w:t>门机</w:t>
            </w:r>
          </w:p>
        </w:tc>
        <w:tc>
          <w:tcPr>
            <w:tcW w:w="435" w:type="dxa"/>
            <w:noWrap w:val="0"/>
            <w:vAlign w:val="top"/>
          </w:tcPr>
          <w:p w14:paraId="1C0B68E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92347F6">
            <w:pPr>
              <w:ind w:right="-109" w:rightChars="-52"/>
              <w:rPr>
                <w:rFonts w:hint="eastAsia" w:ascii="宋体" w:hAnsi="宋体" w:eastAsia="宋体" w:cs="宋体"/>
                <w:sz w:val="24"/>
              </w:rPr>
            </w:pPr>
          </w:p>
        </w:tc>
        <w:tc>
          <w:tcPr>
            <w:tcW w:w="435" w:type="dxa"/>
            <w:noWrap w:val="0"/>
            <w:vAlign w:val="top"/>
          </w:tcPr>
          <w:p w14:paraId="131201A1">
            <w:pPr>
              <w:ind w:right="-109" w:rightChars="-52"/>
              <w:rPr>
                <w:rFonts w:hint="eastAsia" w:ascii="宋体" w:hAnsi="宋体" w:eastAsia="宋体" w:cs="宋体"/>
                <w:sz w:val="24"/>
              </w:rPr>
            </w:pPr>
          </w:p>
        </w:tc>
        <w:tc>
          <w:tcPr>
            <w:tcW w:w="435" w:type="dxa"/>
            <w:noWrap w:val="0"/>
            <w:vAlign w:val="top"/>
          </w:tcPr>
          <w:p w14:paraId="25ADE9F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1A86C5F">
            <w:pPr>
              <w:ind w:right="-109" w:rightChars="-52"/>
              <w:rPr>
                <w:rFonts w:hint="eastAsia" w:ascii="宋体" w:hAnsi="宋体" w:eastAsia="宋体" w:cs="宋体"/>
                <w:sz w:val="24"/>
              </w:rPr>
            </w:pPr>
          </w:p>
        </w:tc>
        <w:tc>
          <w:tcPr>
            <w:tcW w:w="435" w:type="dxa"/>
            <w:noWrap w:val="0"/>
            <w:vAlign w:val="top"/>
          </w:tcPr>
          <w:p w14:paraId="42C11393">
            <w:pPr>
              <w:ind w:right="-109" w:rightChars="-52"/>
              <w:rPr>
                <w:rFonts w:hint="eastAsia" w:ascii="宋体" w:hAnsi="宋体" w:eastAsia="宋体" w:cs="宋体"/>
                <w:sz w:val="24"/>
              </w:rPr>
            </w:pPr>
          </w:p>
        </w:tc>
        <w:tc>
          <w:tcPr>
            <w:tcW w:w="435" w:type="dxa"/>
            <w:noWrap w:val="0"/>
            <w:vAlign w:val="top"/>
          </w:tcPr>
          <w:p w14:paraId="37DA7F6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FFB4DCE">
            <w:pPr>
              <w:ind w:right="-109" w:rightChars="-52"/>
              <w:rPr>
                <w:rFonts w:hint="eastAsia" w:ascii="宋体" w:hAnsi="宋体" w:eastAsia="宋体" w:cs="宋体"/>
                <w:sz w:val="24"/>
              </w:rPr>
            </w:pPr>
          </w:p>
        </w:tc>
        <w:tc>
          <w:tcPr>
            <w:tcW w:w="435" w:type="dxa"/>
            <w:noWrap w:val="0"/>
            <w:vAlign w:val="top"/>
          </w:tcPr>
          <w:p w14:paraId="0D012C8D">
            <w:pPr>
              <w:ind w:right="-109" w:rightChars="-52"/>
              <w:rPr>
                <w:rFonts w:hint="eastAsia" w:ascii="宋体" w:hAnsi="宋体" w:eastAsia="宋体" w:cs="宋体"/>
                <w:sz w:val="24"/>
              </w:rPr>
            </w:pPr>
          </w:p>
        </w:tc>
        <w:tc>
          <w:tcPr>
            <w:tcW w:w="435" w:type="dxa"/>
            <w:noWrap w:val="0"/>
            <w:vAlign w:val="top"/>
          </w:tcPr>
          <w:p w14:paraId="06FB06F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C1DFA0F">
            <w:pPr>
              <w:ind w:right="-109" w:rightChars="-52"/>
              <w:rPr>
                <w:rFonts w:hint="eastAsia" w:ascii="宋体" w:hAnsi="宋体" w:eastAsia="宋体" w:cs="宋体"/>
                <w:sz w:val="24"/>
              </w:rPr>
            </w:pPr>
          </w:p>
        </w:tc>
        <w:tc>
          <w:tcPr>
            <w:tcW w:w="435" w:type="dxa"/>
            <w:noWrap w:val="0"/>
            <w:vAlign w:val="top"/>
          </w:tcPr>
          <w:p w14:paraId="041E762B">
            <w:pPr>
              <w:ind w:right="-109" w:rightChars="-52"/>
              <w:rPr>
                <w:rFonts w:hint="eastAsia" w:ascii="宋体" w:hAnsi="宋体" w:eastAsia="宋体" w:cs="宋体"/>
                <w:sz w:val="24"/>
              </w:rPr>
            </w:pPr>
          </w:p>
        </w:tc>
      </w:tr>
      <w:tr w14:paraId="6DAF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4F8BD43B">
            <w:pPr>
              <w:ind w:right="-109" w:rightChars="-52"/>
              <w:rPr>
                <w:rFonts w:hint="eastAsia" w:ascii="宋体" w:hAnsi="宋体" w:eastAsia="宋体" w:cs="宋体"/>
                <w:sz w:val="24"/>
              </w:rPr>
            </w:pPr>
          </w:p>
        </w:tc>
        <w:tc>
          <w:tcPr>
            <w:tcW w:w="2520" w:type="dxa"/>
            <w:noWrap w:val="0"/>
            <w:vAlign w:val="top"/>
          </w:tcPr>
          <w:p w14:paraId="0113D871">
            <w:pPr>
              <w:ind w:right="-109" w:rightChars="-52"/>
              <w:rPr>
                <w:rFonts w:hint="eastAsia" w:ascii="宋体" w:hAnsi="宋体" w:eastAsia="宋体" w:cs="宋体"/>
                <w:sz w:val="24"/>
              </w:rPr>
            </w:pPr>
            <w:r>
              <w:rPr>
                <w:rFonts w:hint="eastAsia" w:ascii="宋体" w:hAnsi="宋体" w:eastAsia="宋体" w:cs="宋体"/>
                <w:sz w:val="24"/>
              </w:rPr>
              <w:t>门机构、触板</w:t>
            </w:r>
          </w:p>
        </w:tc>
        <w:tc>
          <w:tcPr>
            <w:tcW w:w="435" w:type="dxa"/>
            <w:noWrap w:val="0"/>
            <w:vAlign w:val="top"/>
          </w:tcPr>
          <w:p w14:paraId="267C3BF8">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CFF47FF">
            <w:pPr>
              <w:ind w:right="-109" w:rightChars="-52"/>
              <w:rPr>
                <w:rFonts w:hint="eastAsia" w:ascii="宋体" w:hAnsi="宋体" w:eastAsia="宋体" w:cs="宋体"/>
                <w:sz w:val="24"/>
              </w:rPr>
            </w:pPr>
          </w:p>
        </w:tc>
        <w:tc>
          <w:tcPr>
            <w:tcW w:w="435" w:type="dxa"/>
            <w:noWrap w:val="0"/>
            <w:vAlign w:val="top"/>
          </w:tcPr>
          <w:p w14:paraId="5F3164DE">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8012697">
            <w:pPr>
              <w:ind w:right="-109" w:rightChars="-52"/>
              <w:rPr>
                <w:rFonts w:hint="eastAsia" w:ascii="宋体" w:hAnsi="宋体" w:eastAsia="宋体" w:cs="宋体"/>
                <w:sz w:val="24"/>
              </w:rPr>
            </w:pPr>
          </w:p>
        </w:tc>
        <w:tc>
          <w:tcPr>
            <w:tcW w:w="435" w:type="dxa"/>
            <w:noWrap w:val="0"/>
            <w:vAlign w:val="top"/>
          </w:tcPr>
          <w:p w14:paraId="2B5547C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8552AB3">
            <w:pPr>
              <w:ind w:right="-109" w:rightChars="-52"/>
              <w:rPr>
                <w:rFonts w:hint="eastAsia" w:ascii="宋体" w:hAnsi="宋体" w:eastAsia="宋体" w:cs="宋体"/>
                <w:sz w:val="24"/>
              </w:rPr>
            </w:pPr>
          </w:p>
        </w:tc>
        <w:tc>
          <w:tcPr>
            <w:tcW w:w="435" w:type="dxa"/>
            <w:noWrap w:val="0"/>
            <w:vAlign w:val="top"/>
          </w:tcPr>
          <w:p w14:paraId="3437293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16C359">
            <w:pPr>
              <w:ind w:right="-109" w:rightChars="-52"/>
              <w:rPr>
                <w:rFonts w:hint="eastAsia" w:ascii="宋体" w:hAnsi="宋体" w:eastAsia="宋体" w:cs="宋体"/>
                <w:sz w:val="24"/>
              </w:rPr>
            </w:pPr>
          </w:p>
        </w:tc>
        <w:tc>
          <w:tcPr>
            <w:tcW w:w="435" w:type="dxa"/>
            <w:noWrap w:val="0"/>
            <w:vAlign w:val="top"/>
          </w:tcPr>
          <w:p w14:paraId="01454D28">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E494510">
            <w:pPr>
              <w:ind w:right="-109" w:rightChars="-52"/>
              <w:rPr>
                <w:rFonts w:hint="eastAsia" w:ascii="宋体" w:hAnsi="宋体" w:eastAsia="宋体" w:cs="宋体"/>
                <w:sz w:val="24"/>
              </w:rPr>
            </w:pPr>
          </w:p>
        </w:tc>
        <w:tc>
          <w:tcPr>
            <w:tcW w:w="435" w:type="dxa"/>
            <w:noWrap w:val="0"/>
            <w:vAlign w:val="top"/>
          </w:tcPr>
          <w:p w14:paraId="19E08CD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3147565">
            <w:pPr>
              <w:ind w:right="-109" w:rightChars="-52"/>
              <w:rPr>
                <w:rFonts w:hint="eastAsia" w:ascii="宋体" w:hAnsi="宋体" w:eastAsia="宋体" w:cs="宋体"/>
                <w:sz w:val="24"/>
              </w:rPr>
            </w:pPr>
          </w:p>
        </w:tc>
      </w:tr>
      <w:tr w14:paraId="667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87A54DD">
            <w:pPr>
              <w:ind w:right="-109" w:rightChars="-52"/>
              <w:rPr>
                <w:rFonts w:hint="eastAsia" w:ascii="宋体" w:hAnsi="宋体" w:eastAsia="宋体" w:cs="宋体"/>
                <w:sz w:val="24"/>
              </w:rPr>
            </w:pPr>
          </w:p>
        </w:tc>
        <w:tc>
          <w:tcPr>
            <w:tcW w:w="2520" w:type="dxa"/>
            <w:noWrap w:val="0"/>
            <w:vAlign w:val="top"/>
          </w:tcPr>
          <w:p w14:paraId="1F6255B7">
            <w:pPr>
              <w:ind w:right="-109" w:rightChars="-52"/>
              <w:rPr>
                <w:rFonts w:hint="eastAsia" w:ascii="宋体" w:hAnsi="宋体" w:eastAsia="宋体" w:cs="宋体"/>
                <w:sz w:val="24"/>
              </w:rPr>
            </w:pPr>
            <w:r>
              <w:rPr>
                <w:rFonts w:hint="eastAsia" w:ascii="宋体" w:hAnsi="宋体" w:eastAsia="宋体" w:cs="宋体"/>
                <w:sz w:val="24"/>
              </w:rPr>
              <w:t>导靴、导轮</w:t>
            </w:r>
          </w:p>
        </w:tc>
        <w:tc>
          <w:tcPr>
            <w:tcW w:w="435" w:type="dxa"/>
            <w:noWrap w:val="0"/>
            <w:vAlign w:val="top"/>
          </w:tcPr>
          <w:p w14:paraId="74ECEAD1">
            <w:pPr>
              <w:ind w:right="-109" w:rightChars="-52"/>
              <w:rPr>
                <w:rFonts w:hint="eastAsia" w:ascii="宋体" w:hAnsi="宋体" w:eastAsia="宋体" w:cs="宋体"/>
                <w:sz w:val="24"/>
              </w:rPr>
            </w:pPr>
          </w:p>
        </w:tc>
        <w:tc>
          <w:tcPr>
            <w:tcW w:w="435" w:type="dxa"/>
            <w:noWrap w:val="0"/>
            <w:vAlign w:val="top"/>
          </w:tcPr>
          <w:p w14:paraId="032501BE">
            <w:pPr>
              <w:ind w:right="-109" w:rightChars="-52"/>
              <w:rPr>
                <w:rFonts w:hint="eastAsia" w:ascii="宋体" w:hAnsi="宋体" w:eastAsia="宋体" w:cs="宋体"/>
                <w:sz w:val="24"/>
              </w:rPr>
            </w:pPr>
          </w:p>
        </w:tc>
        <w:tc>
          <w:tcPr>
            <w:tcW w:w="435" w:type="dxa"/>
            <w:noWrap w:val="0"/>
            <w:vAlign w:val="top"/>
          </w:tcPr>
          <w:p w14:paraId="08626D71">
            <w:pPr>
              <w:ind w:right="-109" w:rightChars="-52"/>
              <w:rPr>
                <w:rFonts w:hint="eastAsia" w:ascii="宋体" w:hAnsi="宋体" w:eastAsia="宋体" w:cs="宋体"/>
                <w:sz w:val="24"/>
              </w:rPr>
            </w:pPr>
          </w:p>
        </w:tc>
        <w:tc>
          <w:tcPr>
            <w:tcW w:w="435" w:type="dxa"/>
            <w:noWrap w:val="0"/>
            <w:vAlign w:val="top"/>
          </w:tcPr>
          <w:p w14:paraId="42BFDB83">
            <w:pPr>
              <w:ind w:right="-109" w:rightChars="-52"/>
              <w:rPr>
                <w:rFonts w:hint="eastAsia" w:ascii="宋体" w:hAnsi="宋体" w:eastAsia="宋体" w:cs="宋体"/>
                <w:sz w:val="24"/>
              </w:rPr>
            </w:pPr>
          </w:p>
        </w:tc>
        <w:tc>
          <w:tcPr>
            <w:tcW w:w="435" w:type="dxa"/>
            <w:noWrap w:val="0"/>
            <w:vAlign w:val="top"/>
          </w:tcPr>
          <w:p w14:paraId="7F8E6E5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8AF45E6">
            <w:pPr>
              <w:ind w:right="-109" w:rightChars="-52"/>
              <w:rPr>
                <w:rFonts w:hint="eastAsia" w:ascii="宋体" w:hAnsi="宋体" w:eastAsia="宋体" w:cs="宋体"/>
                <w:sz w:val="24"/>
              </w:rPr>
            </w:pPr>
          </w:p>
        </w:tc>
        <w:tc>
          <w:tcPr>
            <w:tcW w:w="435" w:type="dxa"/>
            <w:noWrap w:val="0"/>
            <w:vAlign w:val="top"/>
          </w:tcPr>
          <w:p w14:paraId="2E2AA02A">
            <w:pPr>
              <w:ind w:right="-109" w:rightChars="-52"/>
              <w:rPr>
                <w:rFonts w:hint="eastAsia" w:ascii="宋体" w:hAnsi="宋体" w:eastAsia="宋体" w:cs="宋体"/>
                <w:sz w:val="24"/>
              </w:rPr>
            </w:pPr>
          </w:p>
        </w:tc>
        <w:tc>
          <w:tcPr>
            <w:tcW w:w="435" w:type="dxa"/>
            <w:noWrap w:val="0"/>
            <w:vAlign w:val="top"/>
          </w:tcPr>
          <w:p w14:paraId="601F5C31">
            <w:pPr>
              <w:ind w:right="-109" w:rightChars="-52"/>
              <w:rPr>
                <w:rFonts w:hint="eastAsia" w:ascii="宋体" w:hAnsi="宋体" w:eastAsia="宋体" w:cs="宋体"/>
                <w:sz w:val="24"/>
              </w:rPr>
            </w:pPr>
          </w:p>
        </w:tc>
        <w:tc>
          <w:tcPr>
            <w:tcW w:w="435" w:type="dxa"/>
            <w:noWrap w:val="0"/>
            <w:vAlign w:val="top"/>
          </w:tcPr>
          <w:p w14:paraId="5E565296">
            <w:pPr>
              <w:ind w:right="-109" w:rightChars="-52"/>
              <w:rPr>
                <w:rFonts w:hint="eastAsia" w:ascii="宋体" w:hAnsi="宋体" w:eastAsia="宋体" w:cs="宋体"/>
                <w:sz w:val="24"/>
              </w:rPr>
            </w:pPr>
          </w:p>
        </w:tc>
        <w:tc>
          <w:tcPr>
            <w:tcW w:w="435" w:type="dxa"/>
            <w:noWrap w:val="0"/>
            <w:vAlign w:val="top"/>
          </w:tcPr>
          <w:p w14:paraId="50B865E7">
            <w:pPr>
              <w:ind w:right="-109" w:rightChars="-52"/>
              <w:rPr>
                <w:rFonts w:hint="eastAsia" w:ascii="宋体" w:hAnsi="宋体" w:eastAsia="宋体" w:cs="宋体"/>
                <w:sz w:val="24"/>
              </w:rPr>
            </w:pPr>
          </w:p>
        </w:tc>
        <w:tc>
          <w:tcPr>
            <w:tcW w:w="435" w:type="dxa"/>
            <w:noWrap w:val="0"/>
            <w:vAlign w:val="top"/>
          </w:tcPr>
          <w:p w14:paraId="7C46083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6D5B668">
            <w:pPr>
              <w:ind w:right="-109" w:rightChars="-52"/>
              <w:rPr>
                <w:rFonts w:hint="eastAsia" w:ascii="宋体" w:hAnsi="宋体" w:eastAsia="宋体" w:cs="宋体"/>
                <w:sz w:val="24"/>
              </w:rPr>
            </w:pPr>
          </w:p>
        </w:tc>
      </w:tr>
      <w:tr w14:paraId="7CE7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399F15E5">
            <w:pPr>
              <w:ind w:right="-109" w:rightChars="-52"/>
              <w:rPr>
                <w:rFonts w:hint="eastAsia" w:ascii="宋体" w:hAnsi="宋体" w:eastAsia="宋体" w:cs="宋体"/>
                <w:sz w:val="24"/>
              </w:rPr>
            </w:pPr>
          </w:p>
        </w:tc>
        <w:tc>
          <w:tcPr>
            <w:tcW w:w="2520" w:type="dxa"/>
            <w:noWrap w:val="0"/>
            <w:vAlign w:val="top"/>
          </w:tcPr>
          <w:p w14:paraId="173CC347">
            <w:pPr>
              <w:ind w:right="-109" w:rightChars="-52"/>
              <w:rPr>
                <w:rFonts w:hint="eastAsia" w:ascii="宋体" w:hAnsi="宋体" w:eastAsia="宋体" w:cs="宋体"/>
                <w:sz w:val="24"/>
              </w:rPr>
            </w:pPr>
            <w:r>
              <w:rPr>
                <w:rFonts w:hint="eastAsia" w:ascii="宋体" w:hAnsi="宋体" w:eastAsia="宋体" w:cs="宋体"/>
                <w:sz w:val="24"/>
              </w:rPr>
              <w:t>安全钳</w:t>
            </w:r>
          </w:p>
        </w:tc>
        <w:tc>
          <w:tcPr>
            <w:tcW w:w="435" w:type="dxa"/>
            <w:noWrap w:val="0"/>
            <w:vAlign w:val="top"/>
          </w:tcPr>
          <w:p w14:paraId="51F8D78A">
            <w:pPr>
              <w:ind w:right="-109" w:rightChars="-52"/>
              <w:rPr>
                <w:rFonts w:hint="eastAsia" w:ascii="宋体" w:hAnsi="宋体" w:eastAsia="宋体" w:cs="宋体"/>
                <w:sz w:val="24"/>
              </w:rPr>
            </w:pPr>
          </w:p>
        </w:tc>
        <w:tc>
          <w:tcPr>
            <w:tcW w:w="435" w:type="dxa"/>
            <w:noWrap w:val="0"/>
            <w:vAlign w:val="top"/>
          </w:tcPr>
          <w:p w14:paraId="71EB7C4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B9BAB7D">
            <w:pPr>
              <w:ind w:right="-109" w:rightChars="-52"/>
              <w:rPr>
                <w:rFonts w:hint="eastAsia" w:ascii="宋体" w:hAnsi="宋体" w:eastAsia="宋体" w:cs="宋体"/>
                <w:sz w:val="24"/>
              </w:rPr>
            </w:pPr>
          </w:p>
        </w:tc>
        <w:tc>
          <w:tcPr>
            <w:tcW w:w="435" w:type="dxa"/>
            <w:noWrap w:val="0"/>
            <w:vAlign w:val="top"/>
          </w:tcPr>
          <w:p w14:paraId="482BB0CD">
            <w:pPr>
              <w:ind w:right="-109" w:rightChars="-52"/>
              <w:rPr>
                <w:rFonts w:hint="eastAsia" w:ascii="宋体" w:hAnsi="宋体" w:eastAsia="宋体" w:cs="宋体"/>
                <w:sz w:val="24"/>
              </w:rPr>
            </w:pPr>
          </w:p>
        </w:tc>
        <w:tc>
          <w:tcPr>
            <w:tcW w:w="435" w:type="dxa"/>
            <w:noWrap w:val="0"/>
            <w:vAlign w:val="top"/>
          </w:tcPr>
          <w:p w14:paraId="76CBB9FE">
            <w:pPr>
              <w:ind w:right="-109" w:rightChars="-52"/>
              <w:rPr>
                <w:rFonts w:hint="eastAsia" w:ascii="宋体" w:hAnsi="宋体" w:eastAsia="宋体" w:cs="宋体"/>
                <w:sz w:val="24"/>
              </w:rPr>
            </w:pPr>
          </w:p>
        </w:tc>
        <w:tc>
          <w:tcPr>
            <w:tcW w:w="435" w:type="dxa"/>
            <w:noWrap w:val="0"/>
            <w:vAlign w:val="top"/>
          </w:tcPr>
          <w:p w14:paraId="51385FE5">
            <w:pPr>
              <w:ind w:right="-109" w:rightChars="-52"/>
              <w:rPr>
                <w:rFonts w:hint="eastAsia" w:ascii="宋体" w:hAnsi="宋体" w:eastAsia="宋体" w:cs="宋体"/>
                <w:sz w:val="24"/>
              </w:rPr>
            </w:pPr>
          </w:p>
        </w:tc>
        <w:tc>
          <w:tcPr>
            <w:tcW w:w="435" w:type="dxa"/>
            <w:noWrap w:val="0"/>
            <w:vAlign w:val="top"/>
          </w:tcPr>
          <w:p w14:paraId="05F1130C">
            <w:pPr>
              <w:ind w:right="-109" w:rightChars="-52"/>
              <w:rPr>
                <w:rFonts w:hint="eastAsia" w:ascii="宋体" w:hAnsi="宋体" w:eastAsia="宋体" w:cs="宋体"/>
                <w:sz w:val="24"/>
              </w:rPr>
            </w:pPr>
          </w:p>
        </w:tc>
        <w:tc>
          <w:tcPr>
            <w:tcW w:w="435" w:type="dxa"/>
            <w:noWrap w:val="0"/>
            <w:vAlign w:val="top"/>
          </w:tcPr>
          <w:p w14:paraId="10BEF08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E5C67A9">
            <w:pPr>
              <w:ind w:right="-109" w:rightChars="-52"/>
              <w:rPr>
                <w:rFonts w:hint="eastAsia" w:ascii="宋体" w:hAnsi="宋体" w:eastAsia="宋体" w:cs="宋体"/>
                <w:sz w:val="24"/>
              </w:rPr>
            </w:pPr>
          </w:p>
        </w:tc>
        <w:tc>
          <w:tcPr>
            <w:tcW w:w="435" w:type="dxa"/>
            <w:noWrap w:val="0"/>
            <w:vAlign w:val="top"/>
          </w:tcPr>
          <w:p w14:paraId="66734AE4">
            <w:pPr>
              <w:ind w:right="-109" w:rightChars="-52"/>
              <w:rPr>
                <w:rFonts w:hint="eastAsia" w:ascii="宋体" w:hAnsi="宋体" w:eastAsia="宋体" w:cs="宋体"/>
                <w:sz w:val="24"/>
              </w:rPr>
            </w:pPr>
          </w:p>
        </w:tc>
        <w:tc>
          <w:tcPr>
            <w:tcW w:w="435" w:type="dxa"/>
            <w:noWrap w:val="0"/>
            <w:vAlign w:val="top"/>
          </w:tcPr>
          <w:p w14:paraId="52423FA8">
            <w:pPr>
              <w:ind w:right="-109" w:rightChars="-52"/>
              <w:rPr>
                <w:rFonts w:hint="eastAsia" w:ascii="宋体" w:hAnsi="宋体" w:eastAsia="宋体" w:cs="宋体"/>
                <w:sz w:val="24"/>
              </w:rPr>
            </w:pPr>
          </w:p>
        </w:tc>
        <w:tc>
          <w:tcPr>
            <w:tcW w:w="435" w:type="dxa"/>
            <w:noWrap w:val="0"/>
            <w:vAlign w:val="top"/>
          </w:tcPr>
          <w:p w14:paraId="463014F1">
            <w:pPr>
              <w:ind w:right="-109" w:rightChars="-52"/>
              <w:rPr>
                <w:rFonts w:hint="eastAsia" w:ascii="宋体" w:hAnsi="宋体" w:eastAsia="宋体" w:cs="宋体"/>
                <w:sz w:val="24"/>
              </w:rPr>
            </w:pPr>
          </w:p>
        </w:tc>
      </w:tr>
      <w:tr w14:paraId="7BAF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6E8270AC">
            <w:pPr>
              <w:ind w:right="-109" w:rightChars="-52"/>
              <w:rPr>
                <w:rFonts w:hint="eastAsia" w:ascii="宋体" w:hAnsi="宋体" w:eastAsia="宋体" w:cs="宋体"/>
                <w:sz w:val="24"/>
              </w:rPr>
            </w:pPr>
          </w:p>
        </w:tc>
        <w:tc>
          <w:tcPr>
            <w:tcW w:w="2520" w:type="dxa"/>
            <w:noWrap w:val="0"/>
            <w:vAlign w:val="top"/>
          </w:tcPr>
          <w:p w14:paraId="716948BD">
            <w:pPr>
              <w:ind w:right="-109" w:rightChars="-52"/>
              <w:rPr>
                <w:rFonts w:hint="eastAsia" w:ascii="宋体" w:hAnsi="宋体" w:eastAsia="宋体" w:cs="宋体"/>
                <w:sz w:val="24"/>
              </w:rPr>
            </w:pPr>
            <w:r>
              <w:rPr>
                <w:rFonts w:hint="eastAsia" w:ascii="宋体" w:hAnsi="宋体" w:eastAsia="宋体" w:cs="宋体"/>
                <w:sz w:val="24"/>
              </w:rPr>
              <w:t>钢索、钢索头</w:t>
            </w:r>
          </w:p>
        </w:tc>
        <w:tc>
          <w:tcPr>
            <w:tcW w:w="435" w:type="dxa"/>
            <w:noWrap w:val="0"/>
            <w:vAlign w:val="top"/>
          </w:tcPr>
          <w:p w14:paraId="3BA9D3B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D1EE56E">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D85551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82A073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740439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027EE7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4842C7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AE3588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0F60F2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EAB41F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727A2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C633CEE">
            <w:pPr>
              <w:ind w:right="-109" w:rightChars="-52"/>
              <w:rPr>
                <w:rFonts w:hint="eastAsia" w:ascii="宋体" w:hAnsi="宋体" w:eastAsia="宋体" w:cs="宋体"/>
                <w:sz w:val="24"/>
              </w:rPr>
            </w:pPr>
            <w:r>
              <w:rPr>
                <w:rFonts w:hint="eastAsia" w:ascii="宋体" w:hAnsi="宋体" w:eastAsia="宋体" w:cs="宋体"/>
                <w:sz w:val="24"/>
              </w:rPr>
              <w:t>o</w:t>
            </w:r>
          </w:p>
        </w:tc>
      </w:tr>
      <w:tr w14:paraId="3D82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CBD9B8A">
            <w:pPr>
              <w:ind w:right="-109" w:rightChars="-52"/>
              <w:rPr>
                <w:rFonts w:hint="eastAsia" w:ascii="宋体" w:hAnsi="宋体" w:eastAsia="宋体" w:cs="宋体"/>
                <w:sz w:val="24"/>
              </w:rPr>
            </w:pPr>
            <w:r>
              <w:rPr>
                <w:rFonts w:hint="eastAsia" w:ascii="宋体" w:hAnsi="宋体" w:eastAsia="宋体" w:cs="宋体"/>
                <w:sz w:val="24"/>
              </w:rPr>
              <w:t>升降路</w:t>
            </w:r>
          </w:p>
        </w:tc>
        <w:tc>
          <w:tcPr>
            <w:tcW w:w="2520" w:type="dxa"/>
            <w:noWrap w:val="0"/>
            <w:vAlign w:val="top"/>
          </w:tcPr>
          <w:p w14:paraId="2BF1EFB6">
            <w:pPr>
              <w:ind w:right="-109" w:rightChars="-52"/>
              <w:rPr>
                <w:rFonts w:hint="eastAsia" w:ascii="宋体" w:hAnsi="宋体" w:eastAsia="宋体" w:cs="宋体"/>
                <w:sz w:val="24"/>
              </w:rPr>
            </w:pPr>
            <w:r>
              <w:rPr>
                <w:rFonts w:hint="eastAsia" w:ascii="宋体" w:hAnsi="宋体" w:eastAsia="宋体" w:cs="宋体"/>
                <w:sz w:val="24"/>
              </w:rPr>
              <w:t>运行电缆、固定电缆</w:t>
            </w:r>
          </w:p>
        </w:tc>
        <w:tc>
          <w:tcPr>
            <w:tcW w:w="435" w:type="dxa"/>
            <w:noWrap w:val="0"/>
            <w:vAlign w:val="top"/>
          </w:tcPr>
          <w:p w14:paraId="58B48692">
            <w:pPr>
              <w:ind w:right="-109" w:rightChars="-52"/>
              <w:rPr>
                <w:rFonts w:hint="eastAsia" w:ascii="宋体" w:hAnsi="宋体" w:eastAsia="宋体" w:cs="宋体"/>
                <w:sz w:val="24"/>
              </w:rPr>
            </w:pPr>
          </w:p>
        </w:tc>
        <w:tc>
          <w:tcPr>
            <w:tcW w:w="435" w:type="dxa"/>
            <w:noWrap w:val="0"/>
            <w:vAlign w:val="top"/>
          </w:tcPr>
          <w:p w14:paraId="1B11A28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7568C8C">
            <w:pPr>
              <w:ind w:right="-109" w:rightChars="-52"/>
              <w:rPr>
                <w:rFonts w:hint="eastAsia" w:ascii="宋体" w:hAnsi="宋体" w:eastAsia="宋体" w:cs="宋体"/>
                <w:sz w:val="24"/>
              </w:rPr>
            </w:pPr>
          </w:p>
        </w:tc>
        <w:tc>
          <w:tcPr>
            <w:tcW w:w="435" w:type="dxa"/>
            <w:noWrap w:val="0"/>
            <w:vAlign w:val="top"/>
          </w:tcPr>
          <w:p w14:paraId="500C12B8">
            <w:pPr>
              <w:ind w:right="-109" w:rightChars="-52"/>
              <w:rPr>
                <w:rFonts w:hint="eastAsia" w:ascii="宋体" w:hAnsi="宋体" w:eastAsia="宋体" w:cs="宋体"/>
                <w:sz w:val="24"/>
              </w:rPr>
            </w:pPr>
          </w:p>
        </w:tc>
        <w:tc>
          <w:tcPr>
            <w:tcW w:w="435" w:type="dxa"/>
            <w:noWrap w:val="0"/>
            <w:vAlign w:val="top"/>
          </w:tcPr>
          <w:p w14:paraId="4F68761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1F9EC02">
            <w:pPr>
              <w:ind w:right="-109" w:rightChars="-52"/>
              <w:rPr>
                <w:rFonts w:hint="eastAsia" w:ascii="宋体" w:hAnsi="宋体" w:eastAsia="宋体" w:cs="宋体"/>
                <w:sz w:val="24"/>
              </w:rPr>
            </w:pPr>
          </w:p>
        </w:tc>
        <w:tc>
          <w:tcPr>
            <w:tcW w:w="435" w:type="dxa"/>
            <w:noWrap w:val="0"/>
            <w:vAlign w:val="top"/>
          </w:tcPr>
          <w:p w14:paraId="723399D1">
            <w:pPr>
              <w:ind w:right="-109" w:rightChars="-52"/>
              <w:rPr>
                <w:rFonts w:hint="eastAsia" w:ascii="宋体" w:hAnsi="宋体" w:eastAsia="宋体" w:cs="宋体"/>
                <w:sz w:val="24"/>
              </w:rPr>
            </w:pPr>
          </w:p>
        </w:tc>
        <w:tc>
          <w:tcPr>
            <w:tcW w:w="435" w:type="dxa"/>
            <w:noWrap w:val="0"/>
            <w:vAlign w:val="top"/>
          </w:tcPr>
          <w:p w14:paraId="4DD404EE">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06AC737">
            <w:pPr>
              <w:ind w:right="-109" w:rightChars="-52"/>
              <w:rPr>
                <w:rFonts w:hint="eastAsia" w:ascii="宋体" w:hAnsi="宋体" w:eastAsia="宋体" w:cs="宋体"/>
                <w:sz w:val="24"/>
              </w:rPr>
            </w:pPr>
          </w:p>
        </w:tc>
        <w:tc>
          <w:tcPr>
            <w:tcW w:w="435" w:type="dxa"/>
            <w:noWrap w:val="0"/>
            <w:vAlign w:val="top"/>
          </w:tcPr>
          <w:p w14:paraId="7590CDDA">
            <w:pPr>
              <w:ind w:right="-109" w:rightChars="-52"/>
              <w:rPr>
                <w:rFonts w:hint="eastAsia" w:ascii="宋体" w:hAnsi="宋体" w:eastAsia="宋体" w:cs="宋体"/>
                <w:sz w:val="24"/>
              </w:rPr>
            </w:pPr>
          </w:p>
        </w:tc>
        <w:tc>
          <w:tcPr>
            <w:tcW w:w="435" w:type="dxa"/>
            <w:noWrap w:val="0"/>
            <w:vAlign w:val="top"/>
          </w:tcPr>
          <w:p w14:paraId="2984072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D3DF261">
            <w:pPr>
              <w:ind w:right="-109" w:rightChars="-52"/>
              <w:rPr>
                <w:rFonts w:hint="eastAsia" w:ascii="宋体" w:hAnsi="宋体" w:eastAsia="宋体" w:cs="宋体"/>
                <w:sz w:val="24"/>
              </w:rPr>
            </w:pPr>
          </w:p>
        </w:tc>
      </w:tr>
      <w:tr w14:paraId="5C9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54CF53F1">
            <w:pPr>
              <w:ind w:right="-109" w:rightChars="-52"/>
              <w:rPr>
                <w:rFonts w:hint="eastAsia" w:ascii="宋体" w:hAnsi="宋体" w:eastAsia="宋体" w:cs="宋体"/>
                <w:sz w:val="24"/>
              </w:rPr>
            </w:pPr>
          </w:p>
        </w:tc>
        <w:tc>
          <w:tcPr>
            <w:tcW w:w="2520" w:type="dxa"/>
            <w:noWrap w:val="0"/>
            <w:vAlign w:val="top"/>
          </w:tcPr>
          <w:p w14:paraId="2E981B32">
            <w:pPr>
              <w:ind w:right="-109" w:rightChars="-52"/>
              <w:rPr>
                <w:rFonts w:hint="eastAsia" w:ascii="宋体" w:hAnsi="宋体" w:eastAsia="宋体" w:cs="宋体"/>
                <w:sz w:val="24"/>
              </w:rPr>
            </w:pPr>
            <w:r>
              <w:rPr>
                <w:rFonts w:hint="eastAsia" w:ascii="宋体" w:hAnsi="宋体" w:eastAsia="宋体" w:cs="宋体"/>
                <w:sz w:val="24"/>
              </w:rPr>
              <w:t>对重</w:t>
            </w:r>
          </w:p>
        </w:tc>
        <w:tc>
          <w:tcPr>
            <w:tcW w:w="435" w:type="dxa"/>
            <w:noWrap w:val="0"/>
            <w:vAlign w:val="top"/>
          </w:tcPr>
          <w:p w14:paraId="4A0BE08A">
            <w:pPr>
              <w:ind w:right="-109" w:rightChars="-52"/>
              <w:rPr>
                <w:rFonts w:hint="eastAsia" w:ascii="宋体" w:hAnsi="宋体" w:eastAsia="宋体" w:cs="宋体"/>
                <w:sz w:val="24"/>
              </w:rPr>
            </w:pPr>
          </w:p>
        </w:tc>
        <w:tc>
          <w:tcPr>
            <w:tcW w:w="435" w:type="dxa"/>
            <w:noWrap w:val="0"/>
            <w:vAlign w:val="top"/>
          </w:tcPr>
          <w:p w14:paraId="52240D53">
            <w:pPr>
              <w:ind w:right="-109" w:rightChars="-52"/>
              <w:rPr>
                <w:rFonts w:hint="eastAsia" w:ascii="宋体" w:hAnsi="宋体" w:eastAsia="宋体" w:cs="宋体"/>
                <w:sz w:val="24"/>
              </w:rPr>
            </w:pPr>
          </w:p>
        </w:tc>
        <w:tc>
          <w:tcPr>
            <w:tcW w:w="435" w:type="dxa"/>
            <w:noWrap w:val="0"/>
            <w:vAlign w:val="top"/>
          </w:tcPr>
          <w:p w14:paraId="04D4E346">
            <w:pPr>
              <w:ind w:right="-109" w:rightChars="-52"/>
              <w:rPr>
                <w:rFonts w:hint="eastAsia" w:ascii="宋体" w:hAnsi="宋体" w:eastAsia="宋体" w:cs="宋体"/>
                <w:sz w:val="24"/>
              </w:rPr>
            </w:pPr>
          </w:p>
        </w:tc>
        <w:tc>
          <w:tcPr>
            <w:tcW w:w="435" w:type="dxa"/>
            <w:noWrap w:val="0"/>
            <w:vAlign w:val="top"/>
          </w:tcPr>
          <w:p w14:paraId="72F4FDAB">
            <w:pPr>
              <w:ind w:right="-109" w:rightChars="-52"/>
              <w:rPr>
                <w:rFonts w:hint="eastAsia" w:ascii="宋体" w:hAnsi="宋体" w:eastAsia="宋体" w:cs="宋体"/>
                <w:sz w:val="24"/>
              </w:rPr>
            </w:pPr>
          </w:p>
        </w:tc>
        <w:tc>
          <w:tcPr>
            <w:tcW w:w="435" w:type="dxa"/>
            <w:noWrap w:val="0"/>
            <w:vAlign w:val="top"/>
          </w:tcPr>
          <w:p w14:paraId="51219EE7">
            <w:pPr>
              <w:ind w:right="-109" w:rightChars="-52"/>
              <w:rPr>
                <w:rFonts w:hint="eastAsia" w:ascii="宋体" w:hAnsi="宋体" w:eastAsia="宋体" w:cs="宋体"/>
                <w:sz w:val="24"/>
              </w:rPr>
            </w:pPr>
          </w:p>
        </w:tc>
        <w:tc>
          <w:tcPr>
            <w:tcW w:w="435" w:type="dxa"/>
            <w:noWrap w:val="0"/>
            <w:vAlign w:val="top"/>
          </w:tcPr>
          <w:p w14:paraId="7DCC149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98BBAA2">
            <w:pPr>
              <w:ind w:right="-109" w:rightChars="-52"/>
              <w:rPr>
                <w:rFonts w:hint="eastAsia" w:ascii="宋体" w:hAnsi="宋体" w:eastAsia="宋体" w:cs="宋体"/>
                <w:sz w:val="24"/>
              </w:rPr>
            </w:pPr>
          </w:p>
        </w:tc>
        <w:tc>
          <w:tcPr>
            <w:tcW w:w="435" w:type="dxa"/>
            <w:noWrap w:val="0"/>
            <w:vAlign w:val="top"/>
          </w:tcPr>
          <w:p w14:paraId="44554F2F">
            <w:pPr>
              <w:ind w:right="-109" w:rightChars="-52"/>
              <w:rPr>
                <w:rFonts w:hint="eastAsia" w:ascii="宋体" w:hAnsi="宋体" w:eastAsia="宋体" w:cs="宋体"/>
                <w:sz w:val="24"/>
              </w:rPr>
            </w:pPr>
          </w:p>
        </w:tc>
        <w:tc>
          <w:tcPr>
            <w:tcW w:w="435" w:type="dxa"/>
            <w:noWrap w:val="0"/>
            <w:vAlign w:val="top"/>
          </w:tcPr>
          <w:p w14:paraId="41524A11">
            <w:pPr>
              <w:ind w:right="-109" w:rightChars="-52"/>
              <w:rPr>
                <w:rFonts w:hint="eastAsia" w:ascii="宋体" w:hAnsi="宋体" w:eastAsia="宋体" w:cs="宋体"/>
                <w:sz w:val="24"/>
              </w:rPr>
            </w:pPr>
          </w:p>
        </w:tc>
        <w:tc>
          <w:tcPr>
            <w:tcW w:w="435" w:type="dxa"/>
            <w:noWrap w:val="0"/>
            <w:vAlign w:val="top"/>
          </w:tcPr>
          <w:p w14:paraId="7A11FF59">
            <w:pPr>
              <w:ind w:right="-109" w:rightChars="-52"/>
              <w:rPr>
                <w:rFonts w:hint="eastAsia" w:ascii="宋体" w:hAnsi="宋体" w:eastAsia="宋体" w:cs="宋体"/>
                <w:sz w:val="24"/>
              </w:rPr>
            </w:pPr>
          </w:p>
        </w:tc>
        <w:tc>
          <w:tcPr>
            <w:tcW w:w="435" w:type="dxa"/>
            <w:noWrap w:val="0"/>
            <w:vAlign w:val="top"/>
          </w:tcPr>
          <w:p w14:paraId="517A1642">
            <w:pPr>
              <w:ind w:right="-109" w:rightChars="-52"/>
              <w:rPr>
                <w:rFonts w:hint="eastAsia" w:ascii="宋体" w:hAnsi="宋体" w:eastAsia="宋体" w:cs="宋体"/>
                <w:sz w:val="24"/>
              </w:rPr>
            </w:pPr>
          </w:p>
        </w:tc>
        <w:tc>
          <w:tcPr>
            <w:tcW w:w="435" w:type="dxa"/>
            <w:noWrap w:val="0"/>
            <w:vAlign w:val="top"/>
          </w:tcPr>
          <w:p w14:paraId="48B95856">
            <w:pPr>
              <w:ind w:right="-109" w:rightChars="-52"/>
              <w:rPr>
                <w:rFonts w:hint="eastAsia" w:ascii="宋体" w:hAnsi="宋体" w:eastAsia="宋体" w:cs="宋体"/>
                <w:sz w:val="24"/>
              </w:rPr>
            </w:pPr>
            <w:r>
              <w:rPr>
                <w:rFonts w:hint="eastAsia" w:ascii="宋体" w:hAnsi="宋体" w:eastAsia="宋体" w:cs="宋体"/>
                <w:sz w:val="24"/>
              </w:rPr>
              <w:t>o</w:t>
            </w:r>
          </w:p>
        </w:tc>
      </w:tr>
      <w:tr w14:paraId="7174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08650E1E">
            <w:pPr>
              <w:ind w:right="-109" w:rightChars="-52"/>
              <w:rPr>
                <w:rFonts w:hint="eastAsia" w:ascii="宋体" w:hAnsi="宋体" w:eastAsia="宋体" w:cs="宋体"/>
                <w:sz w:val="24"/>
              </w:rPr>
            </w:pPr>
          </w:p>
        </w:tc>
        <w:tc>
          <w:tcPr>
            <w:tcW w:w="2520" w:type="dxa"/>
            <w:noWrap w:val="0"/>
            <w:vAlign w:val="top"/>
          </w:tcPr>
          <w:p w14:paraId="021CF927">
            <w:pPr>
              <w:ind w:right="-109" w:rightChars="-52"/>
              <w:rPr>
                <w:rFonts w:hint="eastAsia" w:ascii="宋体" w:hAnsi="宋体" w:eastAsia="宋体" w:cs="宋体"/>
                <w:sz w:val="24"/>
              </w:rPr>
            </w:pPr>
            <w:r>
              <w:rPr>
                <w:rFonts w:hint="eastAsia" w:ascii="宋体" w:hAnsi="宋体" w:eastAsia="宋体" w:cs="宋体"/>
                <w:sz w:val="24"/>
              </w:rPr>
              <w:t>导轨、支架</w:t>
            </w:r>
          </w:p>
        </w:tc>
        <w:tc>
          <w:tcPr>
            <w:tcW w:w="435" w:type="dxa"/>
            <w:noWrap w:val="0"/>
            <w:vAlign w:val="top"/>
          </w:tcPr>
          <w:p w14:paraId="6D92F915">
            <w:pPr>
              <w:ind w:right="-109" w:rightChars="-52"/>
              <w:rPr>
                <w:rFonts w:hint="eastAsia" w:ascii="宋体" w:hAnsi="宋体" w:eastAsia="宋体" w:cs="宋体"/>
                <w:sz w:val="24"/>
              </w:rPr>
            </w:pPr>
          </w:p>
        </w:tc>
        <w:tc>
          <w:tcPr>
            <w:tcW w:w="435" w:type="dxa"/>
            <w:noWrap w:val="0"/>
            <w:vAlign w:val="top"/>
          </w:tcPr>
          <w:p w14:paraId="5792E58C">
            <w:pPr>
              <w:ind w:right="-109" w:rightChars="-52"/>
              <w:rPr>
                <w:rFonts w:hint="eastAsia" w:ascii="宋体" w:hAnsi="宋体" w:eastAsia="宋体" w:cs="宋体"/>
                <w:sz w:val="24"/>
              </w:rPr>
            </w:pPr>
          </w:p>
        </w:tc>
        <w:tc>
          <w:tcPr>
            <w:tcW w:w="435" w:type="dxa"/>
            <w:noWrap w:val="0"/>
            <w:vAlign w:val="top"/>
          </w:tcPr>
          <w:p w14:paraId="70B73C0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BFE30E7">
            <w:pPr>
              <w:ind w:right="-109" w:rightChars="-52"/>
              <w:rPr>
                <w:rFonts w:hint="eastAsia" w:ascii="宋体" w:hAnsi="宋体" w:eastAsia="宋体" w:cs="宋体"/>
                <w:sz w:val="24"/>
              </w:rPr>
            </w:pPr>
          </w:p>
        </w:tc>
        <w:tc>
          <w:tcPr>
            <w:tcW w:w="435" w:type="dxa"/>
            <w:noWrap w:val="0"/>
            <w:vAlign w:val="top"/>
          </w:tcPr>
          <w:p w14:paraId="65748687">
            <w:pPr>
              <w:ind w:right="-109" w:rightChars="-52"/>
              <w:rPr>
                <w:rFonts w:hint="eastAsia" w:ascii="宋体" w:hAnsi="宋体" w:eastAsia="宋体" w:cs="宋体"/>
                <w:sz w:val="24"/>
              </w:rPr>
            </w:pPr>
          </w:p>
        </w:tc>
        <w:tc>
          <w:tcPr>
            <w:tcW w:w="435" w:type="dxa"/>
            <w:noWrap w:val="0"/>
            <w:vAlign w:val="top"/>
          </w:tcPr>
          <w:p w14:paraId="5361C84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7A36353">
            <w:pPr>
              <w:ind w:right="-109" w:rightChars="-52"/>
              <w:rPr>
                <w:rFonts w:hint="eastAsia" w:ascii="宋体" w:hAnsi="宋体" w:eastAsia="宋体" w:cs="宋体"/>
                <w:sz w:val="24"/>
              </w:rPr>
            </w:pPr>
          </w:p>
        </w:tc>
        <w:tc>
          <w:tcPr>
            <w:tcW w:w="435" w:type="dxa"/>
            <w:noWrap w:val="0"/>
            <w:vAlign w:val="top"/>
          </w:tcPr>
          <w:p w14:paraId="48E3265E">
            <w:pPr>
              <w:ind w:right="-109" w:rightChars="-52"/>
              <w:rPr>
                <w:rFonts w:hint="eastAsia" w:ascii="宋体" w:hAnsi="宋体" w:eastAsia="宋体" w:cs="宋体"/>
                <w:sz w:val="24"/>
              </w:rPr>
            </w:pPr>
          </w:p>
        </w:tc>
        <w:tc>
          <w:tcPr>
            <w:tcW w:w="435" w:type="dxa"/>
            <w:noWrap w:val="0"/>
            <w:vAlign w:val="top"/>
          </w:tcPr>
          <w:p w14:paraId="16FF29A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4AF93BE">
            <w:pPr>
              <w:ind w:right="-109" w:rightChars="-52"/>
              <w:rPr>
                <w:rFonts w:hint="eastAsia" w:ascii="宋体" w:hAnsi="宋体" w:eastAsia="宋体" w:cs="宋体"/>
                <w:sz w:val="24"/>
              </w:rPr>
            </w:pPr>
          </w:p>
        </w:tc>
        <w:tc>
          <w:tcPr>
            <w:tcW w:w="435" w:type="dxa"/>
            <w:noWrap w:val="0"/>
            <w:vAlign w:val="top"/>
          </w:tcPr>
          <w:p w14:paraId="5AC32C4A">
            <w:pPr>
              <w:ind w:right="-109" w:rightChars="-52"/>
              <w:rPr>
                <w:rFonts w:hint="eastAsia" w:ascii="宋体" w:hAnsi="宋体" w:eastAsia="宋体" w:cs="宋体"/>
                <w:sz w:val="24"/>
              </w:rPr>
            </w:pPr>
          </w:p>
        </w:tc>
        <w:tc>
          <w:tcPr>
            <w:tcW w:w="435" w:type="dxa"/>
            <w:noWrap w:val="0"/>
            <w:vAlign w:val="top"/>
          </w:tcPr>
          <w:p w14:paraId="0CA1F624">
            <w:pPr>
              <w:ind w:right="-109" w:rightChars="-52"/>
              <w:rPr>
                <w:rFonts w:hint="eastAsia" w:ascii="宋体" w:hAnsi="宋体" w:eastAsia="宋体" w:cs="宋体"/>
                <w:sz w:val="24"/>
              </w:rPr>
            </w:pPr>
            <w:r>
              <w:rPr>
                <w:rFonts w:hint="eastAsia" w:ascii="宋体" w:hAnsi="宋体" w:eastAsia="宋体" w:cs="宋体"/>
                <w:sz w:val="24"/>
              </w:rPr>
              <w:t>o</w:t>
            </w:r>
          </w:p>
        </w:tc>
      </w:tr>
      <w:tr w14:paraId="2ACE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7EFD2C8C">
            <w:pPr>
              <w:ind w:right="-109" w:rightChars="-52"/>
              <w:rPr>
                <w:rFonts w:hint="eastAsia" w:ascii="宋体" w:hAnsi="宋体" w:eastAsia="宋体" w:cs="宋体"/>
                <w:sz w:val="24"/>
              </w:rPr>
            </w:pPr>
          </w:p>
        </w:tc>
        <w:tc>
          <w:tcPr>
            <w:tcW w:w="2520" w:type="dxa"/>
            <w:noWrap w:val="0"/>
            <w:vAlign w:val="top"/>
          </w:tcPr>
          <w:p w14:paraId="326455FA">
            <w:pPr>
              <w:ind w:right="-109" w:rightChars="-52"/>
              <w:rPr>
                <w:rFonts w:hint="eastAsia" w:ascii="宋体" w:hAnsi="宋体" w:eastAsia="宋体" w:cs="宋体"/>
                <w:sz w:val="24"/>
              </w:rPr>
            </w:pPr>
            <w:r>
              <w:rPr>
                <w:rFonts w:hint="eastAsia" w:ascii="宋体" w:hAnsi="宋体" w:eastAsia="宋体" w:cs="宋体"/>
                <w:sz w:val="24"/>
              </w:rPr>
              <w:t>限位开关、减速开关</w:t>
            </w:r>
          </w:p>
        </w:tc>
        <w:tc>
          <w:tcPr>
            <w:tcW w:w="435" w:type="dxa"/>
            <w:noWrap w:val="0"/>
            <w:vAlign w:val="top"/>
          </w:tcPr>
          <w:p w14:paraId="3AF2C4A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4FFB17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1A6B9B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421CD5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FC3B2F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A22435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A67620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CA92F6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C493154">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44FFE7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B4C0E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A6403F8">
            <w:pPr>
              <w:ind w:right="-109" w:rightChars="-52"/>
              <w:rPr>
                <w:rFonts w:hint="eastAsia" w:ascii="宋体" w:hAnsi="宋体" w:eastAsia="宋体" w:cs="宋体"/>
                <w:sz w:val="24"/>
              </w:rPr>
            </w:pPr>
            <w:r>
              <w:rPr>
                <w:rFonts w:hint="eastAsia" w:ascii="宋体" w:hAnsi="宋体" w:eastAsia="宋体" w:cs="宋体"/>
                <w:sz w:val="24"/>
              </w:rPr>
              <w:t>o</w:t>
            </w:r>
          </w:p>
        </w:tc>
      </w:tr>
      <w:tr w14:paraId="6A6D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BF79B7B">
            <w:pPr>
              <w:ind w:right="-109" w:rightChars="-52"/>
              <w:jc w:val="center"/>
              <w:rPr>
                <w:rFonts w:hint="eastAsia" w:ascii="宋体" w:hAnsi="宋体" w:eastAsia="宋体" w:cs="宋体"/>
                <w:sz w:val="24"/>
              </w:rPr>
            </w:pPr>
          </w:p>
        </w:tc>
        <w:tc>
          <w:tcPr>
            <w:tcW w:w="2520" w:type="dxa"/>
            <w:noWrap w:val="0"/>
            <w:vAlign w:val="top"/>
          </w:tcPr>
          <w:p w14:paraId="6E3140E8">
            <w:pPr>
              <w:ind w:right="-109" w:rightChars="-52"/>
              <w:rPr>
                <w:rFonts w:hint="eastAsia" w:ascii="宋体" w:hAnsi="宋体" w:eastAsia="宋体" w:cs="宋体"/>
                <w:sz w:val="24"/>
              </w:rPr>
            </w:pPr>
            <w:r>
              <w:rPr>
                <w:rFonts w:hint="eastAsia" w:ascii="宋体" w:hAnsi="宋体" w:eastAsia="宋体" w:cs="宋体"/>
                <w:sz w:val="24"/>
              </w:rPr>
              <w:t>外门、地坎清洁</w:t>
            </w:r>
          </w:p>
        </w:tc>
        <w:tc>
          <w:tcPr>
            <w:tcW w:w="435" w:type="dxa"/>
            <w:noWrap w:val="0"/>
            <w:vAlign w:val="top"/>
          </w:tcPr>
          <w:p w14:paraId="517411C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B31560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B8ACBE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8FFAA0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A3180F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770F16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75923A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71A4FD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6A8EA7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10960A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75C0F5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FBC97E0">
            <w:pPr>
              <w:ind w:right="-109" w:rightChars="-52"/>
              <w:rPr>
                <w:rFonts w:hint="eastAsia" w:ascii="宋体" w:hAnsi="宋体" w:eastAsia="宋体" w:cs="宋体"/>
                <w:sz w:val="24"/>
              </w:rPr>
            </w:pPr>
            <w:r>
              <w:rPr>
                <w:rFonts w:hint="eastAsia" w:ascii="宋体" w:hAnsi="宋体" w:eastAsia="宋体" w:cs="宋体"/>
                <w:sz w:val="24"/>
              </w:rPr>
              <w:t>o</w:t>
            </w:r>
          </w:p>
        </w:tc>
      </w:tr>
      <w:tr w14:paraId="51FD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33B6AD3">
            <w:pPr>
              <w:ind w:right="-109" w:rightChars="-52"/>
              <w:rPr>
                <w:rFonts w:hint="eastAsia" w:ascii="宋体" w:hAnsi="宋体" w:eastAsia="宋体" w:cs="宋体"/>
                <w:sz w:val="24"/>
              </w:rPr>
            </w:pPr>
            <w:r>
              <w:rPr>
                <w:rFonts w:hint="eastAsia" w:ascii="宋体" w:hAnsi="宋体" w:eastAsia="宋体" w:cs="宋体"/>
                <w:sz w:val="24"/>
              </w:rPr>
              <w:t>轿厢</w:t>
            </w:r>
          </w:p>
        </w:tc>
        <w:tc>
          <w:tcPr>
            <w:tcW w:w="2520" w:type="dxa"/>
            <w:noWrap w:val="0"/>
            <w:vAlign w:val="top"/>
          </w:tcPr>
          <w:p w14:paraId="01AABD0A">
            <w:pPr>
              <w:ind w:right="-109" w:rightChars="-52"/>
              <w:rPr>
                <w:rFonts w:hint="eastAsia" w:ascii="宋体" w:hAnsi="宋体" w:eastAsia="宋体" w:cs="宋体"/>
                <w:sz w:val="24"/>
              </w:rPr>
            </w:pPr>
            <w:r>
              <w:rPr>
                <w:rFonts w:hint="eastAsia" w:ascii="宋体" w:hAnsi="宋体" w:eastAsia="宋体" w:cs="宋体"/>
                <w:sz w:val="24"/>
              </w:rPr>
              <w:t>操纵箱</w:t>
            </w:r>
          </w:p>
        </w:tc>
        <w:tc>
          <w:tcPr>
            <w:tcW w:w="435" w:type="dxa"/>
            <w:noWrap w:val="0"/>
            <w:vAlign w:val="top"/>
          </w:tcPr>
          <w:p w14:paraId="28741C66">
            <w:pPr>
              <w:ind w:right="-109" w:rightChars="-52"/>
              <w:rPr>
                <w:rFonts w:hint="eastAsia" w:ascii="宋体" w:hAnsi="宋体" w:eastAsia="宋体" w:cs="宋体"/>
                <w:sz w:val="24"/>
              </w:rPr>
            </w:pPr>
          </w:p>
        </w:tc>
        <w:tc>
          <w:tcPr>
            <w:tcW w:w="435" w:type="dxa"/>
            <w:noWrap w:val="0"/>
            <w:vAlign w:val="top"/>
          </w:tcPr>
          <w:p w14:paraId="2137CDB8">
            <w:pPr>
              <w:ind w:right="-109" w:rightChars="-52"/>
              <w:rPr>
                <w:rFonts w:hint="eastAsia" w:ascii="宋体" w:hAnsi="宋体" w:eastAsia="宋体" w:cs="宋体"/>
                <w:sz w:val="24"/>
              </w:rPr>
            </w:pPr>
          </w:p>
        </w:tc>
        <w:tc>
          <w:tcPr>
            <w:tcW w:w="435" w:type="dxa"/>
            <w:noWrap w:val="0"/>
            <w:vAlign w:val="top"/>
          </w:tcPr>
          <w:p w14:paraId="24F4C129">
            <w:pPr>
              <w:ind w:right="-109" w:rightChars="-52"/>
              <w:rPr>
                <w:rFonts w:hint="eastAsia" w:ascii="宋体" w:hAnsi="宋体" w:eastAsia="宋体" w:cs="宋体"/>
                <w:sz w:val="24"/>
              </w:rPr>
            </w:pPr>
          </w:p>
        </w:tc>
        <w:tc>
          <w:tcPr>
            <w:tcW w:w="435" w:type="dxa"/>
            <w:noWrap w:val="0"/>
            <w:vAlign w:val="top"/>
          </w:tcPr>
          <w:p w14:paraId="114AF74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B0BDB70">
            <w:pPr>
              <w:ind w:right="-109" w:rightChars="-52"/>
              <w:rPr>
                <w:rFonts w:hint="eastAsia" w:ascii="宋体" w:hAnsi="宋体" w:eastAsia="宋体" w:cs="宋体"/>
                <w:sz w:val="24"/>
              </w:rPr>
            </w:pPr>
          </w:p>
        </w:tc>
        <w:tc>
          <w:tcPr>
            <w:tcW w:w="435" w:type="dxa"/>
            <w:noWrap w:val="0"/>
            <w:vAlign w:val="top"/>
          </w:tcPr>
          <w:p w14:paraId="007C599B">
            <w:pPr>
              <w:ind w:right="-109" w:rightChars="-52"/>
              <w:rPr>
                <w:rFonts w:hint="eastAsia" w:ascii="宋体" w:hAnsi="宋体" w:eastAsia="宋体" w:cs="宋体"/>
                <w:sz w:val="24"/>
              </w:rPr>
            </w:pPr>
          </w:p>
        </w:tc>
        <w:tc>
          <w:tcPr>
            <w:tcW w:w="435" w:type="dxa"/>
            <w:noWrap w:val="0"/>
            <w:vAlign w:val="top"/>
          </w:tcPr>
          <w:p w14:paraId="258F6A52">
            <w:pPr>
              <w:ind w:right="-109" w:rightChars="-52"/>
              <w:rPr>
                <w:rFonts w:hint="eastAsia" w:ascii="宋体" w:hAnsi="宋体" w:eastAsia="宋体" w:cs="宋体"/>
                <w:sz w:val="24"/>
              </w:rPr>
            </w:pPr>
          </w:p>
        </w:tc>
        <w:tc>
          <w:tcPr>
            <w:tcW w:w="435" w:type="dxa"/>
            <w:noWrap w:val="0"/>
            <w:vAlign w:val="top"/>
          </w:tcPr>
          <w:p w14:paraId="164B7D2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B6A5223">
            <w:pPr>
              <w:ind w:right="-109" w:rightChars="-52"/>
              <w:rPr>
                <w:rFonts w:hint="eastAsia" w:ascii="宋体" w:hAnsi="宋体" w:eastAsia="宋体" w:cs="宋体"/>
                <w:sz w:val="24"/>
              </w:rPr>
            </w:pPr>
          </w:p>
        </w:tc>
        <w:tc>
          <w:tcPr>
            <w:tcW w:w="435" w:type="dxa"/>
            <w:noWrap w:val="0"/>
            <w:vAlign w:val="top"/>
          </w:tcPr>
          <w:p w14:paraId="09537193">
            <w:pPr>
              <w:ind w:right="-109" w:rightChars="-52"/>
              <w:rPr>
                <w:rFonts w:hint="eastAsia" w:ascii="宋体" w:hAnsi="宋体" w:eastAsia="宋体" w:cs="宋体"/>
                <w:sz w:val="24"/>
              </w:rPr>
            </w:pPr>
          </w:p>
        </w:tc>
        <w:tc>
          <w:tcPr>
            <w:tcW w:w="435" w:type="dxa"/>
            <w:noWrap w:val="0"/>
            <w:vAlign w:val="top"/>
          </w:tcPr>
          <w:p w14:paraId="5D958517">
            <w:pPr>
              <w:ind w:right="-109" w:rightChars="-52"/>
              <w:rPr>
                <w:rFonts w:hint="eastAsia" w:ascii="宋体" w:hAnsi="宋体" w:eastAsia="宋体" w:cs="宋体"/>
                <w:sz w:val="24"/>
              </w:rPr>
            </w:pPr>
          </w:p>
        </w:tc>
        <w:tc>
          <w:tcPr>
            <w:tcW w:w="435" w:type="dxa"/>
            <w:noWrap w:val="0"/>
            <w:vAlign w:val="top"/>
          </w:tcPr>
          <w:p w14:paraId="50248E09">
            <w:pPr>
              <w:ind w:right="-109" w:rightChars="-52"/>
              <w:rPr>
                <w:rFonts w:hint="eastAsia" w:ascii="宋体" w:hAnsi="宋体" w:eastAsia="宋体" w:cs="宋体"/>
                <w:sz w:val="24"/>
              </w:rPr>
            </w:pPr>
          </w:p>
        </w:tc>
      </w:tr>
      <w:tr w14:paraId="327D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3B567A94">
            <w:pPr>
              <w:ind w:right="-109" w:rightChars="-52"/>
              <w:rPr>
                <w:rFonts w:hint="eastAsia" w:ascii="宋体" w:hAnsi="宋体" w:eastAsia="宋体" w:cs="宋体"/>
                <w:sz w:val="24"/>
              </w:rPr>
            </w:pPr>
          </w:p>
        </w:tc>
        <w:tc>
          <w:tcPr>
            <w:tcW w:w="2520" w:type="dxa"/>
            <w:noWrap w:val="0"/>
            <w:vAlign w:val="top"/>
          </w:tcPr>
          <w:p w14:paraId="2316824C">
            <w:pPr>
              <w:ind w:right="-109" w:rightChars="-52"/>
              <w:rPr>
                <w:rFonts w:hint="eastAsia" w:ascii="宋体" w:hAnsi="宋体" w:eastAsia="宋体" w:cs="宋体"/>
                <w:sz w:val="24"/>
              </w:rPr>
            </w:pPr>
            <w:r>
              <w:rPr>
                <w:rFonts w:hint="eastAsia" w:ascii="宋体" w:hAnsi="宋体" w:eastAsia="宋体" w:cs="宋体"/>
                <w:sz w:val="24"/>
              </w:rPr>
              <w:t>警铃、对讲机</w:t>
            </w:r>
          </w:p>
        </w:tc>
        <w:tc>
          <w:tcPr>
            <w:tcW w:w="435" w:type="dxa"/>
            <w:noWrap w:val="0"/>
            <w:vAlign w:val="top"/>
          </w:tcPr>
          <w:p w14:paraId="0E76FC5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3605CA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920AB3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A456A9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0A3779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25C242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71BDF7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BB2A11E">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092E6D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9CBB50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E29520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28C0C85">
            <w:pPr>
              <w:ind w:right="-109" w:rightChars="-52"/>
              <w:rPr>
                <w:rFonts w:hint="eastAsia" w:ascii="宋体" w:hAnsi="宋体" w:eastAsia="宋体" w:cs="宋体"/>
                <w:sz w:val="24"/>
              </w:rPr>
            </w:pPr>
            <w:r>
              <w:rPr>
                <w:rFonts w:hint="eastAsia" w:ascii="宋体" w:hAnsi="宋体" w:eastAsia="宋体" w:cs="宋体"/>
                <w:sz w:val="24"/>
              </w:rPr>
              <w:t>o</w:t>
            </w:r>
          </w:p>
        </w:tc>
      </w:tr>
      <w:tr w14:paraId="4834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5C1FA463">
            <w:pPr>
              <w:ind w:right="-109" w:rightChars="-52"/>
              <w:rPr>
                <w:rFonts w:hint="eastAsia" w:ascii="宋体" w:hAnsi="宋体" w:eastAsia="宋体" w:cs="宋体"/>
                <w:sz w:val="24"/>
              </w:rPr>
            </w:pPr>
          </w:p>
        </w:tc>
        <w:tc>
          <w:tcPr>
            <w:tcW w:w="2520" w:type="dxa"/>
            <w:noWrap w:val="0"/>
            <w:vAlign w:val="top"/>
          </w:tcPr>
          <w:p w14:paraId="7809934E">
            <w:pPr>
              <w:ind w:right="-109" w:rightChars="-52"/>
              <w:rPr>
                <w:rFonts w:hint="eastAsia" w:ascii="宋体" w:hAnsi="宋体" w:eastAsia="宋体" w:cs="宋体"/>
                <w:sz w:val="24"/>
              </w:rPr>
            </w:pPr>
            <w:r>
              <w:rPr>
                <w:rFonts w:hint="eastAsia" w:ascii="宋体" w:hAnsi="宋体" w:eastAsia="宋体" w:cs="宋体"/>
                <w:sz w:val="24"/>
              </w:rPr>
              <w:t>日光灯、风扇</w:t>
            </w:r>
          </w:p>
        </w:tc>
        <w:tc>
          <w:tcPr>
            <w:tcW w:w="435" w:type="dxa"/>
            <w:noWrap w:val="0"/>
            <w:vAlign w:val="top"/>
          </w:tcPr>
          <w:p w14:paraId="34FA4FF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FBF564E">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B3CB66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B45A03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545422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3993DC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FC0A2C8">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3F2D29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8AF90E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4685CE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C12EED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3FFB9F1">
            <w:pPr>
              <w:ind w:right="-109" w:rightChars="-52"/>
              <w:rPr>
                <w:rFonts w:hint="eastAsia" w:ascii="宋体" w:hAnsi="宋体" w:eastAsia="宋体" w:cs="宋体"/>
                <w:sz w:val="24"/>
              </w:rPr>
            </w:pPr>
            <w:r>
              <w:rPr>
                <w:rFonts w:hint="eastAsia" w:ascii="宋体" w:hAnsi="宋体" w:eastAsia="宋体" w:cs="宋体"/>
                <w:sz w:val="24"/>
              </w:rPr>
              <w:t>o</w:t>
            </w:r>
          </w:p>
        </w:tc>
      </w:tr>
      <w:tr w14:paraId="423B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1034EE93">
            <w:pPr>
              <w:ind w:right="-109" w:rightChars="-52"/>
              <w:rPr>
                <w:rFonts w:hint="eastAsia" w:ascii="宋体" w:hAnsi="宋体" w:eastAsia="宋体" w:cs="宋体"/>
                <w:sz w:val="24"/>
              </w:rPr>
            </w:pPr>
            <w:r>
              <w:rPr>
                <w:rFonts w:hint="eastAsia" w:ascii="宋体" w:hAnsi="宋体" w:eastAsia="宋体" w:cs="宋体"/>
                <w:sz w:val="24"/>
              </w:rPr>
              <w:t>底坑</w:t>
            </w:r>
          </w:p>
        </w:tc>
        <w:tc>
          <w:tcPr>
            <w:tcW w:w="2520" w:type="dxa"/>
            <w:noWrap w:val="0"/>
            <w:vAlign w:val="top"/>
          </w:tcPr>
          <w:p w14:paraId="2321FBDD">
            <w:pPr>
              <w:ind w:right="-109" w:rightChars="-52"/>
              <w:rPr>
                <w:rFonts w:hint="eastAsia" w:ascii="宋体" w:hAnsi="宋体" w:eastAsia="宋体" w:cs="宋体"/>
                <w:sz w:val="24"/>
              </w:rPr>
            </w:pPr>
            <w:r>
              <w:rPr>
                <w:rFonts w:hint="eastAsia" w:ascii="宋体" w:hAnsi="宋体" w:eastAsia="宋体" w:cs="宋体"/>
                <w:sz w:val="24"/>
              </w:rPr>
              <w:t>环境清洁</w:t>
            </w:r>
          </w:p>
        </w:tc>
        <w:tc>
          <w:tcPr>
            <w:tcW w:w="435" w:type="dxa"/>
            <w:noWrap w:val="0"/>
            <w:vAlign w:val="top"/>
          </w:tcPr>
          <w:p w14:paraId="60C90143">
            <w:pPr>
              <w:ind w:right="-109" w:rightChars="-52"/>
              <w:rPr>
                <w:rFonts w:hint="eastAsia" w:ascii="宋体" w:hAnsi="宋体" w:eastAsia="宋体" w:cs="宋体"/>
                <w:sz w:val="24"/>
              </w:rPr>
            </w:pPr>
          </w:p>
        </w:tc>
        <w:tc>
          <w:tcPr>
            <w:tcW w:w="435" w:type="dxa"/>
            <w:noWrap w:val="0"/>
            <w:vAlign w:val="top"/>
          </w:tcPr>
          <w:p w14:paraId="36877F32">
            <w:pPr>
              <w:ind w:right="-109" w:rightChars="-52"/>
              <w:rPr>
                <w:rFonts w:hint="eastAsia" w:ascii="宋体" w:hAnsi="宋体" w:eastAsia="宋体" w:cs="宋体"/>
                <w:sz w:val="24"/>
              </w:rPr>
            </w:pPr>
          </w:p>
        </w:tc>
        <w:tc>
          <w:tcPr>
            <w:tcW w:w="435" w:type="dxa"/>
            <w:noWrap w:val="0"/>
            <w:vAlign w:val="top"/>
          </w:tcPr>
          <w:p w14:paraId="14201794">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4A79587">
            <w:pPr>
              <w:ind w:right="-109" w:rightChars="-52"/>
              <w:rPr>
                <w:rFonts w:hint="eastAsia" w:ascii="宋体" w:hAnsi="宋体" w:eastAsia="宋体" w:cs="宋体"/>
                <w:sz w:val="24"/>
              </w:rPr>
            </w:pPr>
          </w:p>
        </w:tc>
        <w:tc>
          <w:tcPr>
            <w:tcW w:w="435" w:type="dxa"/>
            <w:noWrap w:val="0"/>
            <w:vAlign w:val="top"/>
          </w:tcPr>
          <w:p w14:paraId="1BF7407A">
            <w:pPr>
              <w:ind w:right="-109" w:rightChars="-52"/>
              <w:rPr>
                <w:rFonts w:hint="eastAsia" w:ascii="宋体" w:hAnsi="宋体" w:eastAsia="宋体" w:cs="宋体"/>
                <w:sz w:val="24"/>
              </w:rPr>
            </w:pPr>
          </w:p>
        </w:tc>
        <w:tc>
          <w:tcPr>
            <w:tcW w:w="435" w:type="dxa"/>
            <w:noWrap w:val="0"/>
            <w:vAlign w:val="top"/>
          </w:tcPr>
          <w:p w14:paraId="1E794DDF">
            <w:pPr>
              <w:ind w:right="-109" w:rightChars="-52"/>
              <w:rPr>
                <w:rFonts w:hint="eastAsia" w:ascii="宋体" w:hAnsi="宋体" w:eastAsia="宋体" w:cs="宋体"/>
                <w:sz w:val="24"/>
              </w:rPr>
            </w:pPr>
          </w:p>
        </w:tc>
        <w:tc>
          <w:tcPr>
            <w:tcW w:w="435" w:type="dxa"/>
            <w:noWrap w:val="0"/>
            <w:vAlign w:val="top"/>
          </w:tcPr>
          <w:p w14:paraId="5E9CA80D">
            <w:pPr>
              <w:ind w:right="-109" w:rightChars="-52"/>
              <w:rPr>
                <w:rFonts w:hint="eastAsia" w:ascii="宋体" w:hAnsi="宋体" w:eastAsia="宋体" w:cs="宋体"/>
                <w:sz w:val="24"/>
              </w:rPr>
            </w:pPr>
          </w:p>
        </w:tc>
        <w:tc>
          <w:tcPr>
            <w:tcW w:w="435" w:type="dxa"/>
            <w:noWrap w:val="0"/>
            <w:vAlign w:val="top"/>
          </w:tcPr>
          <w:p w14:paraId="23864F60">
            <w:pPr>
              <w:ind w:right="-109" w:rightChars="-52"/>
              <w:rPr>
                <w:rFonts w:hint="eastAsia" w:ascii="宋体" w:hAnsi="宋体" w:eastAsia="宋体" w:cs="宋体"/>
                <w:sz w:val="24"/>
              </w:rPr>
            </w:pPr>
          </w:p>
        </w:tc>
        <w:tc>
          <w:tcPr>
            <w:tcW w:w="435" w:type="dxa"/>
            <w:noWrap w:val="0"/>
            <w:vAlign w:val="top"/>
          </w:tcPr>
          <w:p w14:paraId="58AD449F">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51B4D9F">
            <w:pPr>
              <w:ind w:right="-109" w:rightChars="-52"/>
              <w:rPr>
                <w:rFonts w:hint="eastAsia" w:ascii="宋体" w:hAnsi="宋体" w:eastAsia="宋体" w:cs="宋体"/>
                <w:sz w:val="24"/>
              </w:rPr>
            </w:pPr>
          </w:p>
        </w:tc>
        <w:tc>
          <w:tcPr>
            <w:tcW w:w="435" w:type="dxa"/>
            <w:noWrap w:val="0"/>
            <w:vAlign w:val="top"/>
          </w:tcPr>
          <w:p w14:paraId="1434821B">
            <w:pPr>
              <w:ind w:right="-109" w:rightChars="-52"/>
              <w:rPr>
                <w:rFonts w:hint="eastAsia" w:ascii="宋体" w:hAnsi="宋体" w:eastAsia="宋体" w:cs="宋体"/>
                <w:sz w:val="24"/>
              </w:rPr>
            </w:pPr>
          </w:p>
        </w:tc>
        <w:tc>
          <w:tcPr>
            <w:tcW w:w="435" w:type="dxa"/>
            <w:noWrap w:val="0"/>
            <w:vAlign w:val="top"/>
          </w:tcPr>
          <w:p w14:paraId="71911875">
            <w:pPr>
              <w:ind w:right="-109" w:rightChars="-52"/>
              <w:rPr>
                <w:rFonts w:hint="eastAsia" w:ascii="宋体" w:hAnsi="宋体" w:eastAsia="宋体" w:cs="宋体"/>
                <w:sz w:val="24"/>
              </w:rPr>
            </w:pPr>
          </w:p>
        </w:tc>
      </w:tr>
      <w:tr w14:paraId="54D3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29E3ADAE">
            <w:pPr>
              <w:ind w:right="-109" w:rightChars="-52"/>
              <w:rPr>
                <w:rFonts w:hint="eastAsia" w:ascii="宋体" w:hAnsi="宋体" w:eastAsia="宋体" w:cs="宋体"/>
                <w:sz w:val="24"/>
              </w:rPr>
            </w:pPr>
          </w:p>
        </w:tc>
        <w:tc>
          <w:tcPr>
            <w:tcW w:w="2520" w:type="dxa"/>
            <w:noWrap w:val="0"/>
            <w:vAlign w:val="top"/>
          </w:tcPr>
          <w:p w14:paraId="0C10FB11">
            <w:pPr>
              <w:ind w:right="-109" w:rightChars="-52"/>
              <w:rPr>
                <w:rFonts w:hint="eastAsia" w:ascii="宋体" w:hAnsi="宋体" w:eastAsia="宋体" w:cs="宋体"/>
                <w:sz w:val="24"/>
              </w:rPr>
            </w:pPr>
            <w:r>
              <w:rPr>
                <w:rFonts w:hint="eastAsia" w:ascii="宋体" w:hAnsi="宋体" w:eastAsia="宋体" w:cs="宋体"/>
                <w:sz w:val="24"/>
              </w:rPr>
              <w:t>安全开关、超载开关</w:t>
            </w:r>
          </w:p>
        </w:tc>
        <w:tc>
          <w:tcPr>
            <w:tcW w:w="435" w:type="dxa"/>
            <w:noWrap w:val="0"/>
            <w:vAlign w:val="top"/>
          </w:tcPr>
          <w:p w14:paraId="575355E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C4ABFB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26C89F8">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99181A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22EF3D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592115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F6A4C3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4ED2B7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BD3BA7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6383BDC">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FB8AB7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6B0246B0">
            <w:pPr>
              <w:ind w:right="-109" w:rightChars="-52"/>
              <w:rPr>
                <w:rFonts w:hint="eastAsia" w:ascii="宋体" w:hAnsi="宋体" w:eastAsia="宋体" w:cs="宋体"/>
                <w:sz w:val="24"/>
              </w:rPr>
            </w:pPr>
            <w:r>
              <w:rPr>
                <w:rFonts w:hint="eastAsia" w:ascii="宋体" w:hAnsi="宋体" w:eastAsia="宋体" w:cs="宋体"/>
                <w:sz w:val="24"/>
              </w:rPr>
              <w:t>o</w:t>
            </w:r>
          </w:p>
        </w:tc>
      </w:tr>
      <w:tr w14:paraId="6E8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12DDC1D8">
            <w:pPr>
              <w:ind w:right="-109" w:rightChars="-52"/>
              <w:rPr>
                <w:rFonts w:hint="eastAsia" w:ascii="宋体" w:hAnsi="宋体" w:eastAsia="宋体" w:cs="宋体"/>
                <w:sz w:val="24"/>
              </w:rPr>
            </w:pPr>
          </w:p>
        </w:tc>
        <w:tc>
          <w:tcPr>
            <w:tcW w:w="2520" w:type="dxa"/>
            <w:noWrap w:val="0"/>
            <w:vAlign w:val="top"/>
          </w:tcPr>
          <w:p w14:paraId="68AD2CC5">
            <w:pPr>
              <w:ind w:right="-109" w:rightChars="-52"/>
              <w:rPr>
                <w:rFonts w:hint="eastAsia" w:ascii="宋体" w:hAnsi="宋体" w:eastAsia="宋体" w:cs="宋体"/>
                <w:sz w:val="24"/>
              </w:rPr>
            </w:pPr>
            <w:r>
              <w:rPr>
                <w:rFonts w:hint="eastAsia" w:ascii="宋体" w:hAnsi="宋体" w:eastAsia="宋体" w:cs="宋体"/>
                <w:sz w:val="24"/>
              </w:rPr>
              <w:t>张力轮、缓冲器</w:t>
            </w:r>
          </w:p>
        </w:tc>
        <w:tc>
          <w:tcPr>
            <w:tcW w:w="435" w:type="dxa"/>
            <w:noWrap w:val="0"/>
            <w:vAlign w:val="top"/>
          </w:tcPr>
          <w:p w14:paraId="47C043B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59CEDD6">
            <w:pPr>
              <w:ind w:right="-109" w:rightChars="-52"/>
              <w:rPr>
                <w:rFonts w:hint="eastAsia" w:ascii="宋体" w:hAnsi="宋体" w:eastAsia="宋体" w:cs="宋体"/>
                <w:sz w:val="24"/>
              </w:rPr>
            </w:pPr>
          </w:p>
        </w:tc>
        <w:tc>
          <w:tcPr>
            <w:tcW w:w="435" w:type="dxa"/>
            <w:noWrap w:val="0"/>
            <w:vAlign w:val="top"/>
          </w:tcPr>
          <w:p w14:paraId="50C20419">
            <w:pPr>
              <w:ind w:right="-109" w:rightChars="-52"/>
              <w:rPr>
                <w:rFonts w:hint="eastAsia" w:ascii="宋体" w:hAnsi="宋体" w:eastAsia="宋体" w:cs="宋体"/>
                <w:sz w:val="24"/>
              </w:rPr>
            </w:pPr>
          </w:p>
        </w:tc>
        <w:tc>
          <w:tcPr>
            <w:tcW w:w="435" w:type="dxa"/>
            <w:noWrap w:val="0"/>
            <w:vAlign w:val="top"/>
          </w:tcPr>
          <w:p w14:paraId="2CF05DDA">
            <w:pPr>
              <w:ind w:right="-109" w:rightChars="-52"/>
              <w:rPr>
                <w:rFonts w:hint="eastAsia" w:ascii="宋体" w:hAnsi="宋体" w:eastAsia="宋体" w:cs="宋体"/>
                <w:sz w:val="24"/>
              </w:rPr>
            </w:pPr>
          </w:p>
        </w:tc>
        <w:tc>
          <w:tcPr>
            <w:tcW w:w="435" w:type="dxa"/>
            <w:noWrap w:val="0"/>
            <w:vAlign w:val="top"/>
          </w:tcPr>
          <w:p w14:paraId="4440E83F">
            <w:pPr>
              <w:ind w:right="-109" w:rightChars="-52"/>
              <w:rPr>
                <w:rFonts w:hint="eastAsia" w:ascii="宋体" w:hAnsi="宋体" w:eastAsia="宋体" w:cs="宋体"/>
                <w:sz w:val="24"/>
              </w:rPr>
            </w:pPr>
          </w:p>
        </w:tc>
        <w:tc>
          <w:tcPr>
            <w:tcW w:w="435" w:type="dxa"/>
            <w:noWrap w:val="0"/>
            <w:vAlign w:val="top"/>
          </w:tcPr>
          <w:p w14:paraId="145A4279">
            <w:pPr>
              <w:ind w:right="-109" w:rightChars="-52"/>
              <w:rPr>
                <w:rFonts w:hint="eastAsia" w:ascii="宋体" w:hAnsi="宋体" w:eastAsia="宋体" w:cs="宋体"/>
                <w:sz w:val="24"/>
              </w:rPr>
            </w:pPr>
          </w:p>
        </w:tc>
        <w:tc>
          <w:tcPr>
            <w:tcW w:w="435" w:type="dxa"/>
            <w:noWrap w:val="0"/>
            <w:vAlign w:val="top"/>
          </w:tcPr>
          <w:p w14:paraId="3CC355D7">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14938387">
            <w:pPr>
              <w:ind w:right="-109" w:rightChars="-52"/>
              <w:rPr>
                <w:rFonts w:hint="eastAsia" w:ascii="宋体" w:hAnsi="宋体" w:eastAsia="宋体" w:cs="宋体"/>
                <w:sz w:val="24"/>
              </w:rPr>
            </w:pPr>
          </w:p>
        </w:tc>
        <w:tc>
          <w:tcPr>
            <w:tcW w:w="435" w:type="dxa"/>
            <w:noWrap w:val="0"/>
            <w:vAlign w:val="top"/>
          </w:tcPr>
          <w:p w14:paraId="6A7231C4">
            <w:pPr>
              <w:ind w:right="-109" w:rightChars="-52"/>
              <w:rPr>
                <w:rFonts w:hint="eastAsia" w:ascii="宋体" w:hAnsi="宋体" w:eastAsia="宋体" w:cs="宋体"/>
                <w:sz w:val="24"/>
              </w:rPr>
            </w:pPr>
          </w:p>
        </w:tc>
        <w:tc>
          <w:tcPr>
            <w:tcW w:w="435" w:type="dxa"/>
            <w:noWrap w:val="0"/>
            <w:vAlign w:val="top"/>
          </w:tcPr>
          <w:p w14:paraId="1A8AC684">
            <w:pPr>
              <w:ind w:right="-109" w:rightChars="-52"/>
              <w:rPr>
                <w:rFonts w:hint="eastAsia" w:ascii="宋体" w:hAnsi="宋体" w:eastAsia="宋体" w:cs="宋体"/>
                <w:sz w:val="24"/>
              </w:rPr>
            </w:pPr>
          </w:p>
        </w:tc>
        <w:tc>
          <w:tcPr>
            <w:tcW w:w="435" w:type="dxa"/>
            <w:noWrap w:val="0"/>
            <w:vAlign w:val="top"/>
          </w:tcPr>
          <w:p w14:paraId="06B9CCED">
            <w:pPr>
              <w:ind w:right="-109" w:rightChars="-52"/>
              <w:rPr>
                <w:rFonts w:hint="eastAsia" w:ascii="宋体" w:hAnsi="宋体" w:eastAsia="宋体" w:cs="宋体"/>
                <w:sz w:val="24"/>
              </w:rPr>
            </w:pPr>
          </w:p>
        </w:tc>
        <w:tc>
          <w:tcPr>
            <w:tcW w:w="435" w:type="dxa"/>
            <w:noWrap w:val="0"/>
            <w:vAlign w:val="top"/>
          </w:tcPr>
          <w:p w14:paraId="4DE74D09">
            <w:pPr>
              <w:ind w:right="-109" w:rightChars="-52"/>
              <w:rPr>
                <w:rFonts w:hint="eastAsia" w:ascii="宋体" w:hAnsi="宋体" w:eastAsia="宋体" w:cs="宋体"/>
                <w:sz w:val="24"/>
              </w:rPr>
            </w:pPr>
          </w:p>
        </w:tc>
      </w:tr>
      <w:tr w14:paraId="520A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04B25F63">
            <w:pPr>
              <w:ind w:right="-109" w:rightChars="-52"/>
              <w:rPr>
                <w:rFonts w:hint="eastAsia" w:ascii="宋体" w:hAnsi="宋体" w:eastAsia="宋体" w:cs="宋体"/>
                <w:sz w:val="24"/>
              </w:rPr>
            </w:pPr>
            <w:r>
              <w:rPr>
                <w:rFonts w:hint="eastAsia" w:ascii="宋体" w:hAnsi="宋体" w:eastAsia="宋体" w:cs="宋体"/>
                <w:sz w:val="24"/>
              </w:rPr>
              <w:t>乘场</w:t>
            </w:r>
          </w:p>
        </w:tc>
        <w:tc>
          <w:tcPr>
            <w:tcW w:w="2520" w:type="dxa"/>
            <w:noWrap w:val="0"/>
            <w:vAlign w:val="top"/>
          </w:tcPr>
          <w:p w14:paraId="04217D00">
            <w:pPr>
              <w:ind w:right="-109" w:rightChars="-52"/>
              <w:rPr>
                <w:rFonts w:hint="eastAsia" w:ascii="宋体" w:hAnsi="宋体" w:eastAsia="宋体" w:cs="宋体"/>
                <w:sz w:val="24"/>
              </w:rPr>
            </w:pPr>
            <w:r>
              <w:rPr>
                <w:rFonts w:hint="eastAsia" w:ascii="宋体" w:hAnsi="宋体" w:eastAsia="宋体" w:cs="宋体"/>
                <w:sz w:val="24"/>
              </w:rPr>
              <w:t>外呼面板</w:t>
            </w:r>
          </w:p>
        </w:tc>
        <w:tc>
          <w:tcPr>
            <w:tcW w:w="435" w:type="dxa"/>
            <w:noWrap w:val="0"/>
            <w:vAlign w:val="top"/>
          </w:tcPr>
          <w:p w14:paraId="2D93777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501B1A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206DF7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47188E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F42FA00">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6A2337B">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5BE673">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C54A16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A4E4291">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204D11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1D26E3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00682E7F">
            <w:pPr>
              <w:ind w:right="-109" w:rightChars="-52"/>
              <w:rPr>
                <w:rFonts w:hint="eastAsia" w:ascii="宋体" w:hAnsi="宋体" w:eastAsia="宋体" w:cs="宋体"/>
                <w:sz w:val="24"/>
              </w:rPr>
            </w:pPr>
            <w:r>
              <w:rPr>
                <w:rFonts w:hint="eastAsia" w:ascii="宋体" w:hAnsi="宋体" w:eastAsia="宋体" w:cs="宋体"/>
                <w:sz w:val="24"/>
              </w:rPr>
              <w:t>o</w:t>
            </w:r>
          </w:p>
        </w:tc>
      </w:tr>
      <w:tr w14:paraId="03DD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6EF7A05F">
            <w:pPr>
              <w:ind w:right="-109" w:rightChars="-52"/>
              <w:rPr>
                <w:rFonts w:hint="eastAsia" w:ascii="宋体" w:hAnsi="宋体" w:eastAsia="宋体" w:cs="宋体"/>
                <w:sz w:val="24"/>
              </w:rPr>
            </w:pPr>
          </w:p>
        </w:tc>
        <w:tc>
          <w:tcPr>
            <w:tcW w:w="2520" w:type="dxa"/>
            <w:noWrap w:val="0"/>
            <w:vAlign w:val="top"/>
          </w:tcPr>
          <w:p w14:paraId="39CF4FDD">
            <w:pPr>
              <w:ind w:right="-109" w:rightChars="-52"/>
              <w:rPr>
                <w:rFonts w:hint="eastAsia" w:ascii="宋体" w:hAnsi="宋体" w:eastAsia="宋体" w:cs="宋体"/>
                <w:sz w:val="24"/>
              </w:rPr>
            </w:pPr>
            <w:r>
              <w:rPr>
                <w:rFonts w:hint="eastAsia" w:ascii="宋体" w:hAnsi="宋体" w:eastAsia="宋体" w:cs="宋体"/>
                <w:sz w:val="24"/>
              </w:rPr>
              <w:t>环境清洁</w:t>
            </w:r>
          </w:p>
        </w:tc>
        <w:tc>
          <w:tcPr>
            <w:tcW w:w="435" w:type="dxa"/>
            <w:noWrap w:val="0"/>
            <w:vAlign w:val="top"/>
          </w:tcPr>
          <w:p w14:paraId="1BCFCF6A">
            <w:pPr>
              <w:ind w:right="-109" w:rightChars="-52"/>
              <w:rPr>
                <w:rFonts w:hint="eastAsia" w:ascii="宋体" w:hAnsi="宋体" w:eastAsia="宋体" w:cs="宋体"/>
                <w:sz w:val="24"/>
              </w:rPr>
            </w:pPr>
          </w:p>
        </w:tc>
        <w:tc>
          <w:tcPr>
            <w:tcW w:w="435" w:type="dxa"/>
            <w:noWrap w:val="0"/>
            <w:vAlign w:val="top"/>
          </w:tcPr>
          <w:p w14:paraId="1668A309">
            <w:pPr>
              <w:ind w:right="-109" w:rightChars="-52"/>
              <w:rPr>
                <w:rFonts w:hint="eastAsia" w:ascii="宋体" w:hAnsi="宋体" w:eastAsia="宋体" w:cs="宋体"/>
                <w:sz w:val="24"/>
              </w:rPr>
            </w:pPr>
          </w:p>
        </w:tc>
        <w:tc>
          <w:tcPr>
            <w:tcW w:w="435" w:type="dxa"/>
            <w:noWrap w:val="0"/>
            <w:vAlign w:val="top"/>
          </w:tcPr>
          <w:p w14:paraId="7669A03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993CB6C">
            <w:pPr>
              <w:ind w:right="-109" w:rightChars="-52"/>
              <w:rPr>
                <w:rFonts w:hint="eastAsia" w:ascii="宋体" w:hAnsi="宋体" w:eastAsia="宋体" w:cs="宋体"/>
                <w:sz w:val="24"/>
              </w:rPr>
            </w:pPr>
          </w:p>
        </w:tc>
        <w:tc>
          <w:tcPr>
            <w:tcW w:w="435" w:type="dxa"/>
            <w:noWrap w:val="0"/>
            <w:vAlign w:val="top"/>
          </w:tcPr>
          <w:p w14:paraId="61890F93">
            <w:pPr>
              <w:ind w:right="-109" w:rightChars="-52"/>
              <w:rPr>
                <w:rFonts w:hint="eastAsia" w:ascii="宋体" w:hAnsi="宋体" w:eastAsia="宋体" w:cs="宋体"/>
                <w:sz w:val="24"/>
              </w:rPr>
            </w:pPr>
          </w:p>
        </w:tc>
        <w:tc>
          <w:tcPr>
            <w:tcW w:w="435" w:type="dxa"/>
            <w:noWrap w:val="0"/>
            <w:vAlign w:val="top"/>
          </w:tcPr>
          <w:p w14:paraId="35003CF6">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9F58640">
            <w:pPr>
              <w:ind w:right="-109" w:rightChars="-52"/>
              <w:rPr>
                <w:rFonts w:hint="eastAsia" w:ascii="宋体" w:hAnsi="宋体" w:eastAsia="宋体" w:cs="宋体"/>
                <w:sz w:val="24"/>
              </w:rPr>
            </w:pPr>
          </w:p>
        </w:tc>
        <w:tc>
          <w:tcPr>
            <w:tcW w:w="435" w:type="dxa"/>
            <w:noWrap w:val="0"/>
            <w:vAlign w:val="top"/>
          </w:tcPr>
          <w:p w14:paraId="05DAEBC6">
            <w:pPr>
              <w:ind w:right="-109" w:rightChars="-52"/>
              <w:rPr>
                <w:rFonts w:hint="eastAsia" w:ascii="宋体" w:hAnsi="宋体" w:eastAsia="宋体" w:cs="宋体"/>
                <w:sz w:val="24"/>
              </w:rPr>
            </w:pPr>
          </w:p>
        </w:tc>
        <w:tc>
          <w:tcPr>
            <w:tcW w:w="435" w:type="dxa"/>
            <w:noWrap w:val="0"/>
            <w:vAlign w:val="top"/>
          </w:tcPr>
          <w:p w14:paraId="76EE3CC5">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5E1C80C0">
            <w:pPr>
              <w:ind w:right="-109" w:rightChars="-52"/>
              <w:rPr>
                <w:rFonts w:hint="eastAsia" w:ascii="宋体" w:hAnsi="宋体" w:eastAsia="宋体" w:cs="宋体"/>
                <w:sz w:val="24"/>
              </w:rPr>
            </w:pPr>
          </w:p>
        </w:tc>
        <w:tc>
          <w:tcPr>
            <w:tcW w:w="435" w:type="dxa"/>
            <w:noWrap w:val="0"/>
            <w:vAlign w:val="top"/>
          </w:tcPr>
          <w:p w14:paraId="3E66DEE7">
            <w:pPr>
              <w:ind w:right="-109" w:rightChars="-52"/>
              <w:rPr>
                <w:rFonts w:hint="eastAsia" w:ascii="宋体" w:hAnsi="宋体" w:eastAsia="宋体" w:cs="宋体"/>
                <w:sz w:val="24"/>
              </w:rPr>
            </w:pPr>
          </w:p>
        </w:tc>
        <w:tc>
          <w:tcPr>
            <w:tcW w:w="435" w:type="dxa"/>
            <w:noWrap w:val="0"/>
            <w:vAlign w:val="top"/>
          </w:tcPr>
          <w:p w14:paraId="01E81D8C">
            <w:pPr>
              <w:ind w:right="-109" w:rightChars="-52"/>
              <w:rPr>
                <w:rFonts w:hint="eastAsia" w:ascii="宋体" w:hAnsi="宋体" w:eastAsia="宋体" w:cs="宋体"/>
                <w:sz w:val="24"/>
              </w:rPr>
            </w:pPr>
            <w:r>
              <w:rPr>
                <w:rFonts w:hint="eastAsia" w:ascii="宋体" w:hAnsi="宋体" w:eastAsia="宋体" w:cs="宋体"/>
                <w:sz w:val="24"/>
              </w:rPr>
              <w:t>o</w:t>
            </w:r>
          </w:p>
        </w:tc>
      </w:tr>
      <w:tr w14:paraId="2A0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48" w:type="dxa"/>
            <w:noWrap w:val="0"/>
            <w:vAlign w:val="top"/>
          </w:tcPr>
          <w:p w14:paraId="72B1AEFD">
            <w:pPr>
              <w:ind w:right="-109" w:rightChars="-52"/>
              <w:rPr>
                <w:rFonts w:hint="eastAsia" w:ascii="宋体" w:hAnsi="宋体" w:eastAsia="宋体" w:cs="宋体"/>
                <w:sz w:val="24"/>
              </w:rPr>
            </w:pPr>
          </w:p>
        </w:tc>
        <w:tc>
          <w:tcPr>
            <w:tcW w:w="2520" w:type="dxa"/>
            <w:noWrap w:val="0"/>
            <w:vAlign w:val="top"/>
          </w:tcPr>
          <w:p w14:paraId="14B8A450">
            <w:pPr>
              <w:ind w:right="-109" w:rightChars="-52"/>
              <w:rPr>
                <w:rFonts w:hint="eastAsia" w:ascii="宋体" w:hAnsi="宋体" w:eastAsia="宋体" w:cs="宋体"/>
                <w:sz w:val="24"/>
              </w:rPr>
            </w:pPr>
            <w:r>
              <w:rPr>
                <w:rFonts w:hint="eastAsia" w:ascii="宋体" w:hAnsi="宋体" w:eastAsia="宋体" w:cs="宋体"/>
                <w:sz w:val="24"/>
              </w:rPr>
              <w:t>门缝调整</w:t>
            </w:r>
          </w:p>
        </w:tc>
        <w:tc>
          <w:tcPr>
            <w:tcW w:w="435" w:type="dxa"/>
            <w:noWrap w:val="0"/>
            <w:vAlign w:val="top"/>
          </w:tcPr>
          <w:p w14:paraId="1F3D036F">
            <w:pPr>
              <w:ind w:right="-109" w:rightChars="-52"/>
              <w:rPr>
                <w:rFonts w:hint="eastAsia" w:ascii="宋体" w:hAnsi="宋体" w:eastAsia="宋体" w:cs="宋体"/>
                <w:sz w:val="24"/>
              </w:rPr>
            </w:pPr>
          </w:p>
        </w:tc>
        <w:tc>
          <w:tcPr>
            <w:tcW w:w="435" w:type="dxa"/>
            <w:noWrap w:val="0"/>
            <w:vAlign w:val="top"/>
          </w:tcPr>
          <w:p w14:paraId="0E5C59A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1F9D3A0">
            <w:pPr>
              <w:ind w:right="-109" w:rightChars="-52"/>
              <w:rPr>
                <w:rFonts w:hint="eastAsia" w:ascii="宋体" w:hAnsi="宋体" w:eastAsia="宋体" w:cs="宋体"/>
                <w:sz w:val="24"/>
              </w:rPr>
            </w:pPr>
          </w:p>
        </w:tc>
        <w:tc>
          <w:tcPr>
            <w:tcW w:w="435" w:type="dxa"/>
            <w:noWrap w:val="0"/>
            <w:vAlign w:val="top"/>
          </w:tcPr>
          <w:p w14:paraId="772BC0F9">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7CE27E2B">
            <w:pPr>
              <w:ind w:right="-109" w:rightChars="-52"/>
              <w:rPr>
                <w:rFonts w:hint="eastAsia" w:ascii="宋体" w:hAnsi="宋体" w:eastAsia="宋体" w:cs="宋体"/>
                <w:sz w:val="24"/>
              </w:rPr>
            </w:pPr>
          </w:p>
        </w:tc>
        <w:tc>
          <w:tcPr>
            <w:tcW w:w="435" w:type="dxa"/>
            <w:noWrap w:val="0"/>
            <w:vAlign w:val="top"/>
          </w:tcPr>
          <w:p w14:paraId="1AC525B2">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2856BB86">
            <w:pPr>
              <w:ind w:right="-109" w:rightChars="-52"/>
              <w:rPr>
                <w:rFonts w:hint="eastAsia" w:ascii="宋体" w:hAnsi="宋体" w:eastAsia="宋体" w:cs="宋体"/>
                <w:sz w:val="24"/>
              </w:rPr>
            </w:pPr>
          </w:p>
        </w:tc>
        <w:tc>
          <w:tcPr>
            <w:tcW w:w="435" w:type="dxa"/>
            <w:noWrap w:val="0"/>
            <w:vAlign w:val="top"/>
          </w:tcPr>
          <w:p w14:paraId="1BDA547D">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30BA6CE8">
            <w:pPr>
              <w:ind w:right="-109" w:rightChars="-52"/>
              <w:rPr>
                <w:rFonts w:hint="eastAsia" w:ascii="宋体" w:hAnsi="宋体" w:eastAsia="宋体" w:cs="宋体"/>
                <w:sz w:val="24"/>
              </w:rPr>
            </w:pPr>
          </w:p>
        </w:tc>
        <w:tc>
          <w:tcPr>
            <w:tcW w:w="435" w:type="dxa"/>
            <w:noWrap w:val="0"/>
            <w:vAlign w:val="top"/>
          </w:tcPr>
          <w:p w14:paraId="0FCDFE6A">
            <w:pPr>
              <w:ind w:right="-109" w:rightChars="-52"/>
              <w:rPr>
                <w:rFonts w:hint="eastAsia" w:ascii="宋体" w:hAnsi="宋体" w:eastAsia="宋体" w:cs="宋体"/>
                <w:sz w:val="24"/>
              </w:rPr>
            </w:pPr>
            <w:r>
              <w:rPr>
                <w:rFonts w:hint="eastAsia" w:ascii="宋体" w:hAnsi="宋体" w:eastAsia="宋体" w:cs="宋体"/>
                <w:sz w:val="24"/>
              </w:rPr>
              <w:t>o</w:t>
            </w:r>
          </w:p>
        </w:tc>
        <w:tc>
          <w:tcPr>
            <w:tcW w:w="435" w:type="dxa"/>
            <w:noWrap w:val="0"/>
            <w:vAlign w:val="top"/>
          </w:tcPr>
          <w:p w14:paraId="459B9098">
            <w:pPr>
              <w:ind w:right="-109" w:rightChars="-52"/>
              <w:rPr>
                <w:rFonts w:hint="eastAsia" w:ascii="宋体" w:hAnsi="宋体" w:eastAsia="宋体" w:cs="宋体"/>
                <w:sz w:val="24"/>
              </w:rPr>
            </w:pPr>
          </w:p>
        </w:tc>
        <w:tc>
          <w:tcPr>
            <w:tcW w:w="435" w:type="dxa"/>
            <w:noWrap w:val="0"/>
            <w:vAlign w:val="top"/>
          </w:tcPr>
          <w:p w14:paraId="1BF722C2">
            <w:pPr>
              <w:ind w:right="-109" w:rightChars="-52"/>
              <w:rPr>
                <w:rFonts w:hint="eastAsia" w:ascii="宋体" w:hAnsi="宋体" w:eastAsia="宋体" w:cs="宋体"/>
                <w:sz w:val="24"/>
              </w:rPr>
            </w:pPr>
            <w:r>
              <w:rPr>
                <w:rFonts w:hint="eastAsia" w:ascii="宋体" w:hAnsi="宋体" w:eastAsia="宋体" w:cs="宋体"/>
                <w:sz w:val="24"/>
              </w:rPr>
              <w:t>o</w:t>
            </w:r>
          </w:p>
        </w:tc>
      </w:tr>
    </w:tbl>
    <w:p w14:paraId="7F320FE9">
      <w:pPr>
        <w:ind w:right="-109" w:rightChars="-52"/>
        <w:rPr>
          <w:rFonts w:ascii="楷体_GB2312" w:eastAsia="楷体_GB2312"/>
          <w:sz w:val="24"/>
        </w:rPr>
      </w:pPr>
    </w:p>
    <w:p w14:paraId="07608B4D">
      <w:pPr>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br w:type="page"/>
      </w:r>
    </w:p>
    <w:p w14:paraId="1E05D904">
      <w:pPr>
        <w:widowControl/>
        <w:spacing w:line="360" w:lineRule="auto"/>
        <w:ind w:firstLine="480" w:firstLineChars="2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二、电梯的保养项目</w:t>
      </w:r>
    </w:p>
    <w:p w14:paraId="1760BC29">
      <w:pPr>
        <w:widowControl/>
        <w:spacing w:line="360" w:lineRule="auto"/>
        <w:ind w:firstLine="480" w:firstLineChars="2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1、轿顶的保养</w:t>
      </w:r>
    </w:p>
    <w:tbl>
      <w:tblPr>
        <w:tblStyle w:val="2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480"/>
        <w:gridCol w:w="836"/>
        <w:gridCol w:w="2700"/>
        <w:gridCol w:w="3780"/>
      </w:tblGrid>
      <w:tr w14:paraId="7866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24" w:type="dxa"/>
            <w:tcBorders>
              <w:bottom w:val="single" w:color="auto" w:sz="4" w:space="0"/>
            </w:tcBorders>
            <w:noWrap w:val="0"/>
            <w:vAlign w:val="center"/>
          </w:tcPr>
          <w:p w14:paraId="539B1FAF">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检查项目</w:t>
            </w:r>
          </w:p>
        </w:tc>
        <w:tc>
          <w:tcPr>
            <w:tcW w:w="1316" w:type="dxa"/>
            <w:gridSpan w:val="2"/>
            <w:tcBorders>
              <w:bottom w:val="single" w:color="auto" w:sz="4" w:space="0"/>
            </w:tcBorders>
            <w:noWrap w:val="0"/>
            <w:vAlign w:val="center"/>
          </w:tcPr>
          <w:p w14:paraId="3E11965C">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方式</w:t>
            </w:r>
          </w:p>
        </w:tc>
        <w:tc>
          <w:tcPr>
            <w:tcW w:w="2700" w:type="dxa"/>
            <w:tcBorders>
              <w:bottom w:val="single" w:color="auto" w:sz="4" w:space="0"/>
            </w:tcBorders>
            <w:noWrap w:val="0"/>
            <w:vAlign w:val="center"/>
          </w:tcPr>
          <w:p w14:paraId="05C5410B">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检 查 内 容</w:t>
            </w:r>
          </w:p>
        </w:tc>
        <w:tc>
          <w:tcPr>
            <w:tcW w:w="3780" w:type="dxa"/>
            <w:tcBorders>
              <w:bottom w:val="single" w:color="auto" w:sz="4" w:space="0"/>
            </w:tcBorders>
            <w:noWrap w:val="0"/>
            <w:vAlign w:val="center"/>
          </w:tcPr>
          <w:p w14:paraId="132667D3">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判 定 标 准</w:t>
            </w:r>
          </w:p>
        </w:tc>
      </w:tr>
      <w:tr w14:paraId="1BB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1424" w:type="dxa"/>
            <w:tcBorders>
              <w:bottom w:val="single" w:color="auto" w:sz="4" w:space="0"/>
            </w:tcBorders>
            <w:noWrap w:val="0"/>
            <w:vAlign w:val="center"/>
          </w:tcPr>
          <w:p w14:paraId="31292ED0">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(1)</w:t>
            </w:r>
          </w:p>
          <w:p w14:paraId="30DE7F25">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紧急救出口</w:t>
            </w:r>
          </w:p>
        </w:tc>
        <w:tc>
          <w:tcPr>
            <w:tcW w:w="480" w:type="dxa"/>
            <w:tcBorders>
              <w:bottom w:val="single" w:color="auto" w:sz="4" w:space="0"/>
            </w:tcBorders>
            <w:noWrap w:val="0"/>
            <w:vAlign w:val="center"/>
          </w:tcPr>
          <w:p w14:paraId="3A67B0A1">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61814D85">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2D39898A">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tcBorders>
              <w:bottom w:val="single" w:color="auto" w:sz="4" w:space="0"/>
            </w:tcBorders>
            <w:noWrap w:val="0"/>
            <w:vAlign w:val="center"/>
          </w:tcPr>
          <w:p w14:paraId="74A63535">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4C48B875">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243D1799">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16126183">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700" w:type="dxa"/>
            <w:tcBorders>
              <w:bottom w:val="single" w:color="auto" w:sz="4" w:space="0"/>
            </w:tcBorders>
            <w:noWrap w:val="0"/>
            <w:vAlign w:val="center"/>
          </w:tcPr>
          <w:p w14:paraId="44DB1D61">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p>
          <w:p w14:paraId="7E34E800">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检查就出口的索住设施及安全开关情形。</w:t>
            </w:r>
          </w:p>
        </w:tc>
        <w:tc>
          <w:tcPr>
            <w:tcW w:w="3780" w:type="dxa"/>
            <w:tcBorders>
              <w:bottom w:val="single" w:color="auto" w:sz="4" w:space="0"/>
            </w:tcBorders>
            <w:noWrap w:val="0"/>
            <w:vAlign w:val="center"/>
          </w:tcPr>
          <w:p w14:paraId="54C50293">
            <w:pPr>
              <w:keepNext w:val="0"/>
              <w:keepLines w:val="0"/>
              <w:pageBreakBefore w:val="0"/>
              <w:numPr>
                <w:ilvl w:val="0"/>
                <w:numId w:val="6"/>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救出口盖一经打开，车厢应停止升降。</w:t>
            </w:r>
          </w:p>
          <w:p w14:paraId="1B53B175">
            <w:pPr>
              <w:keepNext w:val="0"/>
              <w:keepLines w:val="0"/>
              <w:pageBreakBefore w:val="0"/>
              <w:numPr>
                <w:ilvl w:val="0"/>
                <w:numId w:val="6"/>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应能锁住救出口。</w:t>
            </w:r>
          </w:p>
          <w:p w14:paraId="7789C98A">
            <w:pPr>
              <w:keepNext w:val="0"/>
              <w:keepLines w:val="0"/>
              <w:pageBreakBefore w:val="0"/>
              <w:numPr>
                <w:ilvl w:val="0"/>
                <w:numId w:val="6"/>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救出口不亦变形。</w:t>
            </w:r>
          </w:p>
        </w:tc>
      </w:tr>
      <w:tr w14:paraId="0CC2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424" w:type="dxa"/>
            <w:noWrap w:val="0"/>
            <w:vAlign w:val="center"/>
          </w:tcPr>
          <w:p w14:paraId="75DA231A">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（2）</w:t>
            </w:r>
          </w:p>
          <w:p w14:paraId="511ACBE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门开关装置</w:t>
            </w:r>
          </w:p>
        </w:tc>
        <w:tc>
          <w:tcPr>
            <w:tcW w:w="480" w:type="dxa"/>
            <w:noWrap w:val="0"/>
            <w:vAlign w:val="center"/>
          </w:tcPr>
          <w:p w14:paraId="02F3379D">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4506C7F8">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noWrap w:val="0"/>
            <w:vAlign w:val="center"/>
          </w:tcPr>
          <w:p w14:paraId="0ED6295F">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65086E32">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27CACE02">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30240170">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700" w:type="dxa"/>
            <w:noWrap w:val="0"/>
            <w:vAlign w:val="center"/>
          </w:tcPr>
          <w:p w14:paraId="565BBE28">
            <w:pPr>
              <w:keepNext w:val="0"/>
              <w:keepLines w:val="0"/>
              <w:pageBreakBefore w:val="0"/>
              <w:numPr>
                <w:ilvl w:val="0"/>
                <w:numId w:val="7"/>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检查门机构及开关、噪音、振动、润滑情形。</w:t>
            </w:r>
          </w:p>
          <w:p w14:paraId="3F43D17C">
            <w:pPr>
              <w:keepNext w:val="0"/>
              <w:keepLines w:val="0"/>
              <w:pageBreakBefore w:val="0"/>
              <w:numPr>
                <w:ilvl w:val="0"/>
                <w:numId w:val="7"/>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检查门控制器、门马达。</w:t>
            </w:r>
          </w:p>
        </w:tc>
        <w:tc>
          <w:tcPr>
            <w:tcW w:w="3780" w:type="dxa"/>
            <w:noWrap w:val="0"/>
            <w:vAlign w:val="center"/>
          </w:tcPr>
          <w:p w14:paraId="60AB1A5E">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门开关良好，不应有噪音、振动，润滑情形良好。</w:t>
            </w:r>
          </w:p>
          <w:p w14:paraId="171D7967">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p>
          <w:p w14:paraId="3C49F481">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机能良好且无异常发热。</w:t>
            </w:r>
          </w:p>
        </w:tc>
      </w:tr>
      <w:tr w14:paraId="3183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24" w:type="dxa"/>
            <w:noWrap w:val="0"/>
            <w:vAlign w:val="center"/>
          </w:tcPr>
          <w:p w14:paraId="0E990E61">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（3）</w:t>
            </w:r>
          </w:p>
          <w:p w14:paraId="4E04D669">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安全开关</w:t>
            </w:r>
          </w:p>
        </w:tc>
        <w:tc>
          <w:tcPr>
            <w:tcW w:w="480" w:type="dxa"/>
            <w:noWrap w:val="0"/>
            <w:vAlign w:val="center"/>
          </w:tcPr>
          <w:p w14:paraId="031D1844">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45D74C80">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3372CC5E">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noWrap w:val="0"/>
            <w:vAlign w:val="center"/>
          </w:tcPr>
          <w:p w14:paraId="5C992C7A">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7C1D5EF2">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197DAF75">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04A1182F">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700" w:type="dxa"/>
            <w:noWrap w:val="0"/>
            <w:vAlign w:val="center"/>
          </w:tcPr>
          <w:p w14:paraId="732B8A4D">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急停、检修、安全钳</w:t>
            </w:r>
          </w:p>
          <w:p w14:paraId="57E213D4">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各开关</w:t>
            </w:r>
          </w:p>
        </w:tc>
        <w:tc>
          <w:tcPr>
            <w:tcW w:w="3780" w:type="dxa"/>
            <w:noWrap w:val="0"/>
            <w:vAlign w:val="center"/>
          </w:tcPr>
          <w:p w14:paraId="40E79001">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p>
          <w:p w14:paraId="28901835">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应动作可靠、灵敏。</w:t>
            </w:r>
          </w:p>
        </w:tc>
      </w:tr>
      <w:tr w14:paraId="6418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424" w:type="dxa"/>
            <w:noWrap w:val="0"/>
            <w:vAlign w:val="center"/>
          </w:tcPr>
          <w:p w14:paraId="39B69905">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（4）</w:t>
            </w:r>
          </w:p>
          <w:p w14:paraId="6F3E9C1B">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导靴、油杯</w:t>
            </w:r>
          </w:p>
        </w:tc>
        <w:tc>
          <w:tcPr>
            <w:tcW w:w="480" w:type="dxa"/>
            <w:noWrap w:val="0"/>
            <w:vAlign w:val="center"/>
          </w:tcPr>
          <w:p w14:paraId="3D5C1D99">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1C2F19D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36" w:type="dxa"/>
            <w:noWrap w:val="0"/>
            <w:vAlign w:val="center"/>
          </w:tcPr>
          <w:p w14:paraId="5C9D7FC1">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p>
        </w:tc>
        <w:tc>
          <w:tcPr>
            <w:tcW w:w="2700" w:type="dxa"/>
            <w:noWrap w:val="0"/>
            <w:vAlign w:val="center"/>
          </w:tcPr>
          <w:p w14:paraId="225FFEE2">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检查导靴、油杯</w:t>
            </w:r>
          </w:p>
        </w:tc>
        <w:tc>
          <w:tcPr>
            <w:tcW w:w="3780" w:type="dxa"/>
            <w:noWrap w:val="0"/>
            <w:vAlign w:val="center"/>
          </w:tcPr>
          <w:p w14:paraId="4DD7A279">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无显著磨损、裂纹和损伤，</w:t>
            </w:r>
          </w:p>
          <w:p w14:paraId="0E167AD5">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固定良好油量适当.</w:t>
            </w:r>
          </w:p>
        </w:tc>
      </w:tr>
      <w:tr w14:paraId="4C81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1424" w:type="dxa"/>
            <w:noWrap w:val="0"/>
            <w:vAlign w:val="center"/>
          </w:tcPr>
          <w:p w14:paraId="09577984">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（5）</w:t>
            </w:r>
          </w:p>
          <w:p w14:paraId="1E6EE7FD">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钢丝绳</w:t>
            </w:r>
          </w:p>
        </w:tc>
        <w:tc>
          <w:tcPr>
            <w:tcW w:w="480" w:type="dxa"/>
            <w:noWrap w:val="0"/>
            <w:vAlign w:val="center"/>
          </w:tcPr>
          <w:p w14:paraId="170810C6">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7C5AC2CB">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手</w:t>
            </w:r>
          </w:p>
          <w:p w14:paraId="3FA785FC">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p w14:paraId="263DBCB2">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2327DFA4">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1AE5F47D">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36" w:type="dxa"/>
            <w:noWrap w:val="0"/>
            <w:vAlign w:val="center"/>
          </w:tcPr>
          <w:p w14:paraId="1687DC12">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3EC0C314">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6EB47AEC">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p>
          <w:p w14:paraId="030D7AD7">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239C857F">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130692A3">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4C1F8618">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700" w:type="dxa"/>
            <w:noWrap w:val="0"/>
            <w:vAlign w:val="center"/>
          </w:tcPr>
          <w:p w14:paraId="7AA1EB04">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钢丝绳扎头</w:t>
            </w:r>
          </w:p>
          <w:p w14:paraId="6F8C5FE5">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钢丝绳磨损程度</w:t>
            </w:r>
          </w:p>
          <w:p w14:paraId="2ED2C4AC">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（3）张力检查</w:t>
            </w:r>
          </w:p>
        </w:tc>
        <w:tc>
          <w:tcPr>
            <w:tcW w:w="3780" w:type="dxa"/>
            <w:noWrap w:val="0"/>
            <w:vAlign w:val="center"/>
          </w:tcPr>
          <w:p w14:paraId="071CD2C8">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钢丝绳扎头应螺帽、开口销齐全，并帽应锁紧</w:t>
            </w:r>
          </w:p>
          <w:p w14:paraId="7C49C4C3">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发生以下情形应更换：</w:t>
            </w:r>
          </w:p>
          <w:p w14:paraId="28A9C94E">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出现断股</w:t>
            </w:r>
          </w:p>
          <w:p w14:paraId="548EB17A">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直径减少超过7％</w:t>
            </w:r>
          </w:p>
          <w:p w14:paraId="60634BD1">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有显著之变形、腐蚀</w:t>
            </w:r>
          </w:p>
          <w:p w14:paraId="29BB14A8">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发生扭结</w:t>
            </w:r>
          </w:p>
          <w:p w14:paraId="69613271">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张力应均匀</w:t>
            </w:r>
          </w:p>
        </w:tc>
      </w:tr>
      <w:tr w14:paraId="22F4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24" w:type="dxa"/>
            <w:noWrap w:val="0"/>
            <w:vAlign w:val="center"/>
          </w:tcPr>
          <w:p w14:paraId="2B95DC28">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（6）</w:t>
            </w:r>
          </w:p>
          <w:p w14:paraId="558E058F">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支架</w:t>
            </w:r>
          </w:p>
        </w:tc>
        <w:tc>
          <w:tcPr>
            <w:tcW w:w="480" w:type="dxa"/>
            <w:noWrap w:val="0"/>
            <w:vAlign w:val="center"/>
          </w:tcPr>
          <w:p w14:paraId="62D74669">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5F63A022">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noWrap w:val="0"/>
            <w:vAlign w:val="center"/>
          </w:tcPr>
          <w:p w14:paraId="45BACD4D">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每月</w:t>
            </w:r>
          </w:p>
          <w:p w14:paraId="5420E27F">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700" w:type="dxa"/>
            <w:noWrap w:val="0"/>
            <w:vAlign w:val="center"/>
          </w:tcPr>
          <w:p w14:paraId="546B8C9F">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固定情况</w:t>
            </w:r>
          </w:p>
        </w:tc>
        <w:tc>
          <w:tcPr>
            <w:tcW w:w="3780" w:type="dxa"/>
            <w:noWrap w:val="0"/>
            <w:vAlign w:val="center"/>
          </w:tcPr>
          <w:p w14:paraId="32169EB3">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所有螺栓应索紧</w:t>
            </w:r>
          </w:p>
        </w:tc>
      </w:tr>
      <w:tr w14:paraId="649F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424" w:type="dxa"/>
            <w:noWrap w:val="0"/>
            <w:vAlign w:val="center"/>
          </w:tcPr>
          <w:p w14:paraId="22A932F4">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（7）</w:t>
            </w:r>
          </w:p>
          <w:p w14:paraId="29043566">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对重</w:t>
            </w:r>
          </w:p>
        </w:tc>
        <w:tc>
          <w:tcPr>
            <w:tcW w:w="480" w:type="dxa"/>
            <w:noWrap w:val="0"/>
            <w:vAlign w:val="center"/>
          </w:tcPr>
          <w:p w14:paraId="2725220A">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7DDEC5BF">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noWrap w:val="0"/>
            <w:vAlign w:val="center"/>
          </w:tcPr>
          <w:p w14:paraId="4CB132D9">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每月</w:t>
            </w:r>
          </w:p>
          <w:p w14:paraId="073C2241">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700" w:type="dxa"/>
            <w:noWrap w:val="0"/>
            <w:vAlign w:val="center"/>
          </w:tcPr>
          <w:p w14:paraId="0D23241B">
            <w:pPr>
              <w:keepNext w:val="0"/>
              <w:keepLines w:val="0"/>
              <w:pageBreakBefore w:val="0"/>
              <w:numPr>
                <w:ilvl w:val="0"/>
                <w:numId w:val="8"/>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压铁检查</w:t>
            </w:r>
          </w:p>
          <w:p w14:paraId="3AED8488">
            <w:pPr>
              <w:keepNext w:val="0"/>
              <w:keepLines w:val="0"/>
              <w:pageBreakBefore w:val="0"/>
              <w:numPr>
                <w:ilvl w:val="0"/>
                <w:numId w:val="8"/>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导靴检查</w:t>
            </w:r>
          </w:p>
        </w:tc>
        <w:tc>
          <w:tcPr>
            <w:tcW w:w="3780" w:type="dxa"/>
            <w:noWrap w:val="0"/>
            <w:vAlign w:val="center"/>
          </w:tcPr>
          <w:p w14:paraId="021A6C53">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有无松动，晃动、异响。</w:t>
            </w:r>
          </w:p>
          <w:p w14:paraId="1D4C03B3">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无显著磨损，龟裂、变形、磨损。</w:t>
            </w:r>
          </w:p>
        </w:tc>
      </w:tr>
    </w:tbl>
    <w:p w14:paraId="2098AA59">
      <w:pPr>
        <w:keepNext w:val="0"/>
        <w:keepLines w:val="0"/>
        <w:pageBreakBefore w:val="0"/>
        <w:kinsoku/>
        <w:wordWrap/>
        <w:overflowPunct/>
        <w:topLinePunct w:val="0"/>
        <w:autoSpaceDE/>
        <w:autoSpaceDN/>
        <w:bidi w:val="0"/>
        <w:adjustRightInd/>
        <w:snapToGrid/>
        <w:ind w:left="0" w:right="0" w:rightChars="0" w:firstLine="0" w:firstLineChars="0"/>
        <w:textAlignment w:val="auto"/>
        <w:rPr>
          <w:rFonts w:hint="eastAsia" w:ascii="宋体" w:hAnsi="宋体" w:eastAsia="宋体" w:cs="宋体"/>
          <w:sz w:val="24"/>
          <w:lang w:val="en-US" w:eastAsia="zh-CN"/>
        </w:rPr>
      </w:pPr>
    </w:p>
    <w:p w14:paraId="1B35DD34">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52B6CC86">
      <w:pPr>
        <w:keepNext w:val="0"/>
        <w:keepLines w:val="0"/>
        <w:pageBreakBefore w:val="0"/>
        <w:kinsoku/>
        <w:wordWrap/>
        <w:overflowPunct/>
        <w:topLinePunct w:val="0"/>
        <w:autoSpaceDE/>
        <w:autoSpaceDN/>
        <w:bidi w:val="0"/>
        <w:adjustRightInd/>
        <w:snapToGrid/>
        <w:ind w:left="0" w:right="0" w:rightChars="0" w:firstLine="0" w:firstLineChars="0"/>
        <w:textAlignment w:val="auto"/>
        <w:rPr>
          <w:rFonts w:hint="eastAsia" w:ascii="宋体" w:hAnsi="宋体" w:eastAsia="宋体" w:cs="宋体"/>
          <w:sz w:val="24"/>
        </w:rPr>
      </w:pPr>
      <w:r>
        <w:rPr>
          <w:rFonts w:hint="eastAsia" w:ascii="宋体" w:hAnsi="宋体" w:eastAsia="宋体" w:cs="宋体"/>
          <w:sz w:val="24"/>
          <w:lang w:val="en-US" w:eastAsia="zh-CN"/>
        </w:rPr>
        <w:t>2、井道</w:t>
      </w:r>
      <w:r>
        <w:rPr>
          <w:rFonts w:hint="eastAsia" w:ascii="宋体" w:hAnsi="宋体" w:eastAsia="宋体" w:cs="宋体"/>
          <w:sz w:val="24"/>
        </w:rPr>
        <w:t>的保养</w:t>
      </w:r>
    </w:p>
    <w:tbl>
      <w:tblPr>
        <w:tblStyle w:val="2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480"/>
        <w:gridCol w:w="836"/>
        <w:gridCol w:w="2700"/>
        <w:gridCol w:w="3780"/>
      </w:tblGrid>
      <w:tr w14:paraId="7D6B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424" w:type="dxa"/>
            <w:noWrap w:val="0"/>
            <w:vAlign w:val="center"/>
          </w:tcPr>
          <w:p w14:paraId="539DFF2B">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检查项目</w:t>
            </w:r>
          </w:p>
        </w:tc>
        <w:tc>
          <w:tcPr>
            <w:tcW w:w="480" w:type="dxa"/>
            <w:noWrap w:val="0"/>
            <w:vAlign w:val="center"/>
          </w:tcPr>
          <w:p w14:paraId="44572BD3">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方式</w:t>
            </w:r>
          </w:p>
        </w:tc>
        <w:tc>
          <w:tcPr>
            <w:tcW w:w="836" w:type="dxa"/>
            <w:noWrap w:val="0"/>
            <w:vAlign w:val="center"/>
          </w:tcPr>
          <w:p w14:paraId="34C14DC0">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检 查 内 容</w:t>
            </w:r>
          </w:p>
        </w:tc>
        <w:tc>
          <w:tcPr>
            <w:tcW w:w="2700" w:type="dxa"/>
            <w:noWrap w:val="0"/>
            <w:vAlign w:val="center"/>
          </w:tcPr>
          <w:p w14:paraId="5612D9EC">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判 定 标 准</w:t>
            </w:r>
          </w:p>
        </w:tc>
        <w:tc>
          <w:tcPr>
            <w:tcW w:w="3780" w:type="dxa"/>
            <w:noWrap w:val="0"/>
            <w:vAlign w:val="center"/>
          </w:tcPr>
          <w:p w14:paraId="773ADEC1">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检查项目</w:t>
            </w:r>
          </w:p>
        </w:tc>
      </w:tr>
      <w:tr w14:paraId="1E7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1424" w:type="dxa"/>
            <w:noWrap w:val="0"/>
            <w:vAlign w:val="center"/>
          </w:tcPr>
          <w:p w14:paraId="19C06E4D">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p>
          <w:p w14:paraId="20721B56">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外门</w:t>
            </w:r>
          </w:p>
        </w:tc>
        <w:tc>
          <w:tcPr>
            <w:tcW w:w="480" w:type="dxa"/>
            <w:noWrap w:val="0"/>
            <w:vAlign w:val="center"/>
          </w:tcPr>
          <w:p w14:paraId="7B0727B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手</w:t>
            </w:r>
          </w:p>
          <w:p w14:paraId="6D0B990C">
            <w:pPr>
              <w:keepNext w:val="0"/>
              <w:keepLines w:val="0"/>
              <w:pageBreakBefore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测</w:t>
            </w:r>
          </w:p>
        </w:tc>
        <w:tc>
          <w:tcPr>
            <w:tcW w:w="836" w:type="dxa"/>
            <w:noWrap w:val="0"/>
            <w:vAlign w:val="center"/>
          </w:tcPr>
          <w:p w14:paraId="2DB8DC7F">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1F5B6BB5">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52D8E6F8">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6BBD3A80">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次</w:t>
            </w:r>
          </w:p>
        </w:tc>
        <w:tc>
          <w:tcPr>
            <w:tcW w:w="2700" w:type="dxa"/>
            <w:noWrap w:val="0"/>
            <w:vAlign w:val="center"/>
          </w:tcPr>
          <w:p w14:paraId="011E4CE2">
            <w:pPr>
              <w:keepNext w:val="0"/>
              <w:keepLines w:val="0"/>
              <w:pageBreakBefore w:val="0"/>
              <w:numPr>
                <w:ilvl w:val="0"/>
                <w:numId w:val="9"/>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门连锁检查</w:t>
            </w:r>
          </w:p>
          <w:p w14:paraId="037D2BCA">
            <w:pPr>
              <w:keepNext w:val="0"/>
              <w:keepLines w:val="0"/>
              <w:pageBreakBefore w:val="0"/>
              <w:numPr>
                <w:ilvl w:val="0"/>
                <w:numId w:val="9"/>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门滑板检查</w:t>
            </w:r>
          </w:p>
          <w:p w14:paraId="3E1F168E">
            <w:pPr>
              <w:keepNext w:val="0"/>
              <w:keepLines w:val="0"/>
              <w:pageBreakBefore w:val="0"/>
              <w:numPr>
                <w:ilvl w:val="0"/>
                <w:numId w:val="9"/>
              </w:numPr>
              <w:kinsoku/>
              <w:wordWrap/>
              <w:overflowPunct/>
              <w:topLinePunct w:val="0"/>
              <w:autoSpaceDE/>
              <w:autoSpaceDN/>
              <w:bidi w:val="0"/>
              <w:adjustRightInd/>
              <w:snapToGrid/>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门悬挂系统连接检查、地坎槽检查。</w:t>
            </w:r>
          </w:p>
        </w:tc>
        <w:tc>
          <w:tcPr>
            <w:tcW w:w="3780" w:type="dxa"/>
            <w:noWrap w:val="0"/>
            <w:vAlign w:val="center"/>
          </w:tcPr>
          <w:p w14:paraId="0A0303A5">
            <w:pPr>
              <w:keepNext w:val="0"/>
              <w:keepLines w:val="0"/>
              <w:pageBreakBefore w:val="0"/>
              <w:numPr>
                <w:ilvl w:val="0"/>
                <w:numId w:val="10"/>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动作应灵敏可靠，某一层门锁断开电梯应立即停止，触点无锈蚀、变形。</w:t>
            </w:r>
          </w:p>
          <w:p w14:paraId="523029AD">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门滑道不应有油污、异物。</w:t>
            </w:r>
          </w:p>
          <w:p w14:paraId="14076176">
            <w:pPr>
              <w:keepNext w:val="0"/>
              <w:keepLines w:val="0"/>
              <w:pageBreakBefore w:val="0"/>
              <w:numPr>
                <w:ilvl w:val="0"/>
                <w:numId w:val="0"/>
              </w:numPr>
              <w:kinsoku/>
              <w:wordWrap/>
              <w:overflowPunct/>
              <w:topLinePunct w:val="0"/>
              <w:autoSpaceDE/>
              <w:autoSpaceDN/>
              <w:bidi w:val="0"/>
              <w:adjustRightInd/>
              <w:snapToGrid/>
              <w:ind w:leftChars="0" w:right="0" w:rightChars="0"/>
              <w:jc w:val="both"/>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所有螺栓应索紧，钢丝绳张力适当，地坎槽应无异物，开门锁应灵活、有效。</w:t>
            </w:r>
          </w:p>
          <w:p w14:paraId="7E13493E">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开关门应无振动、摩擦痕迹、异响</w:t>
            </w:r>
            <w:r>
              <w:rPr>
                <w:rFonts w:hint="eastAsia" w:ascii="宋体" w:hAnsi="宋体" w:cs="宋体"/>
                <w:sz w:val="24"/>
                <w:lang w:eastAsia="zh-CN"/>
              </w:rPr>
              <w:t>。</w:t>
            </w:r>
          </w:p>
        </w:tc>
      </w:tr>
      <w:tr w14:paraId="1744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24" w:type="dxa"/>
            <w:noWrap w:val="0"/>
            <w:vAlign w:val="center"/>
          </w:tcPr>
          <w:p w14:paraId="7792CCAE">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w:t>
            </w:r>
          </w:p>
          <w:p w14:paraId="0C59FF10">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电缆</w:t>
            </w:r>
          </w:p>
        </w:tc>
        <w:tc>
          <w:tcPr>
            <w:tcW w:w="480" w:type="dxa"/>
            <w:noWrap w:val="0"/>
            <w:vAlign w:val="center"/>
          </w:tcPr>
          <w:p w14:paraId="06C7AE1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752EA09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36" w:type="dxa"/>
            <w:noWrap w:val="0"/>
            <w:vAlign w:val="center"/>
          </w:tcPr>
          <w:p w14:paraId="1F1C4E7A">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每月</w:t>
            </w:r>
          </w:p>
          <w:p w14:paraId="24EB296A">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700" w:type="dxa"/>
            <w:noWrap w:val="0"/>
            <w:vAlign w:val="center"/>
          </w:tcPr>
          <w:p w14:paraId="317E9C44">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位置及电缆本身</w:t>
            </w:r>
          </w:p>
        </w:tc>
        <w:tc>
          <w:tcPr>
            <w:tcW w:w="3780" w:type="dxa"/>
            <w:noWrap w:val="0"/>
            <w:vAlign w:val="center"/>
          </w:tcPr>
          <w:p w14:paraId="5629D649">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p>
          <w:p w14:paraId="07CE5552">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应无移位、不应有断裂、腐化。</w:t>
            </w:r>
          </w:p>
        </w:tc>
      </w:tr>
      <w:tr w14:paraId="2AB7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424" w:type="dxa"/>
            <w:tcBorders>
              <w:bottom w:val="single" w:color="auto" w:sz="4" w:space="0"/>
            </w:tcBorders>
            <w:noWrap w:val="0"/>
            <w:vAlign w:val="center"/>
          </w:tcPr>
          <w:p w14:paraId="0ADBACA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p>
          <w:p w14:paraId="70D2FB26">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井道各信息开关</w:t>
            </w:r>
          </w:p>
        </w:tc>
        <w:tc>
          <w:tcPr>
            <w:tcW w:w="480" w:type="dxa"/>
            <w:tcBorders>
              <w:bottom w:val="single" w:color="auto" w:sz="4" w:space="0"/>
            </w:tcBorders>
            <w:noWrap w:val="0"/>
            <w:vAlign w:val="center"/>
          </w:tcPr>
          <w:p w14:paraId="5022E455">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1B12B222">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p w14:paraId="255E3721">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实</w:t>
            </w:r>
          </w:p>
          <w:p w14:paraId="5F45CA11">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36" w:type="dxa"/>
            <w:tcBorders>
              <w:bottom w:val="single" w:color="auto" w:sz="4" w:space="0"/>
            </w:tcBorders>
            <w:noWrap w:val="0"/>
            <w:vAlign w:val="center"/>
          </w:tcPr>
          <w:p w14:paraId="0C870F1D">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w:t>
            </w:r>
          </w:p>
          <w:p w14:paraId="6F76F074">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月</w:t>
            </w:r>
          </w:p>
          <w:p w14:paraId="296F7B66">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w:t>
            </w:r>
          </w:p>
          <w:p w14:paraId="076BE672">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700" w:type="dxa"/>
            <w:tcBorders>
              <w:bottom w:val="single" w:color="auto" w:sz="4" w:space="0"/>
            </w:tcBorders>
            <w:noWrap w:val="0"/>
            <w:vAlign w:val="center"/>
          </w:tcPr>
          <w:p w14:paraId="0BD0A033">
            <w:pPr>
              <w:keepNext w:val="0"/>
              <w:keepLines w:val="0"/>
              <w:pageBreakBefore w:val="0"/>
              <w:numPr>
                <w:ilvl w:val="0"/>
                <w:numId w:val="11"/>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极限、急停</w:t>
            </w:r>
          </w:p>
          <w:p w14:paraId="58C0F33C">
            <w:pPr>
              <w:keepNext w:val="0"/>
              <w:keepLines w:val="0"/>
              <w:pageBreakBefore w:val="0"/>
              <w:numPr>
                <w:ilvl w:val="0"/>
                <w:numId w:val="11"/>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上下限位</w:t>
            </w:r>
          </w:p>
          <w:p w14:paraId="112AC3E6">
            <w:pPr>
              <w:keepNext w:val="0"/>
              <w:keepLines w:val="0"/>
              <w:pageBreakBefore w:val="0"/>
              <w:numPr>
                <w:ilvl w:val="0"/>
                <w:numId w:val="11"/>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上下强迫减速</w:t>
            </w:r>
          </w:p>
        </w:tc>
        <w:tc>
          <w:tcPr>
            <w:tcW w:w="3780" w:type="dxa"/>
            <w:tcBorders>
              <w:bottom w:val="single" w:color="auto" w:sz="4" w:space="0"/>
            </w:tcBorders>
            <w:noWrap w:val="0"/>
            <w:vAlign w:val="center"/>
          </w:tcPr>
          <w:p w14:paraId="288E90A6">
            <w:pPr>
              <w:keepNext w:val="0"/>
              <w:keepLines w:val="0"/>
              <w:pageBreakBefore w:val="0"/>
              <w:numPr>
                <w:ilvl w:val="0"/>
                <w:numId w:val="12"/>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一经碰触，电梯应立即停止。</w:t>
            </w:r>
          </w:p>
          <w:p w14:paraId="23FEA2F5">
            <w:pPr>
              <w:keepNext w:val="0"/>
              <w:keepLines w:val="0"/>
              <w:pageBreakBefore w:val="0"/>
              <w:numPr>
                <w:ilvl w:val="0"/>
                <w:numId w:val="12"/>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上限位开关一经碰触，电梯应停止上行。</w:t>
            </w:r>
          </w:p>
          <w:p w14:paraId="33AF23DB">
            <w:pPr>
              <w:keepNext w:val="0"/>
              <w:keepLines w:val="0"/>
              <w:pageBreakBefore w:val="0"/>
              <w:numPr>
                <w:ilvl w:val="0"/>
                <w:numId w:val="12"/>
              </w:numPr>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一经碰触电梯应慢速行驶。</w:t>
            </w:r>
          </w:p>
          <w:p w14:paraId="59F1FC18">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开关盒至撞弓间距为8－10MM。</w:t>
            </w:r>
          </w:p>
        </w:tc>
      </w:tr>
      <w:tr w14:paraId="7FAA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424" w:type="dxa"/>
            <w:tcBorders>
              <w:bottom w:val="single" w:color="auto" w:sz="4" w:space="0"/>
            </w:tcBorders>
            <w:noWrap w:val="0"/>
            <w:vAlign w:val="center"/>
          </w:tcPr>
          <w:p w14:paraId="228EF05A">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p>
          <w:p w14:paraId="29D8A2C2">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隔磁板</w:t>
            </w:r>
          </w:p>
        </w:tc>
        <w:tc>
          <w:tcPr>
            <w:tcW w:w="480" w:type="dxa"/>
            <w:tcBorders>
              <w:bottom w:val="single" w:color="auto" w:sz="4" w:space="0"/>
            </w:tcBorders>
            <w:noWrap w:val="0"/>
            <w:vAlign w:val="center"/>
          </w:tcPr>
          <w:p w14:paraId="22FEEE8A">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015250AC">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36" w:type="dxa"/>
            <w:tcBorders>
              <w:bottom w:val="single" w:color="auto" w:sz="4" w:space="0"/>
            </w:tcBorders>
            <w:noWrap w:val="0"/>
            <w:vAlign w:val="center"/>
          </w:tcPr>
          <w:p w14:paraId="24BF1F29">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每月</w:t>
            </w:r>
          </w:p>
          <w:p w14:paraId="66EF71ED">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700" w:type="dxa"/>
            <w:tcBorders>
              <w:bottom w:val="single" w:color="auto" w:sz="4" w:space="0"/>
            </w:tcBorders>
            <w:noWrap w:val="0"/>
            <w:vAlign w:val="center"/>
          </w:tcPr>
          <w:p w14:paraId="3E2D6259">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固定情况</w:t>
            </w:r>
          </w:p>
          <w:p w14:paraId="4790F136">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间距</w:t>
            </w:r>
          </w:p>
        </w:tc>
        <w:tc>
          <w:tcPr>
            <w:tcW w:w="3780" w:type="dxa"/>
            <w:tcBorders>
              <w:bottom w:val="single" w:color="auto" w:sz="4" w:space="0"/>
            </w:tcBorders>
            <w:noWrap w:val="0"/>
            <w:vAlign w:val="center"/>
          </w:tcPr>
          <w:p w14:paraId="45AB39CD">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螺栓应紧固</w:t>
            </w:r>
          </w:p>
          <w:p w14:paraId="02868FD6">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应分中</w:t>
            </w:r>
          </w:p>
        </w:tc>
      </w:tr>
      <w:tr w14:paraId="1782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424" w:type="dxa"/>
            <w:tcBorders>
              <w:bottom w:val="single" w:color="auto" w:sz="4" w:space="0"/>
            </w:tcBorders>
            <w:noWrap w:val="0"/>
            <w:vAlign w:val="center"/>
          </w:tcPr>
          <w:p w14:paraId="124AC370">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w:t>
            </w:r>
          </w:p>
          <w:p w14:paraId="77A13B06">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配电盘</w:t>
            </w:r>
          </w:p>
        </w:tc>
        <w:tc>
          <w:tcPr>
            <w:tcW w:w="480" w:type="dxa"/>
            <w:tcBorders>
              <w:bottom w:val="single" w:color="auto" w:sz="4" w:space="0"/>
            </w:tcBorders>
            <w:noWrap w:val="0"/>
            <w:vAlign w:val="center"/>
          </w:tcPr>
          <w:p w14:paraId="1E3B55D2">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目</w:t>
            </w:r>
          </w:p>
          <w:p w14:paraId="208D6777">
            <w:pPr>
              <w:keepNext w:val="0"/>
              <w:keepLines w:val="0"/>
              <w:pageBreakBefore w:val="0"/>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36" w:type="dxa"/>
            <w:tcBorders>
              <w:bottom w:val="single" w:color="auto" w:sz="4" w:space="0"/>
            </w:tcBorders>
            <w:noWrap w:val="0"/>
            <w:vAlign w:val="center"/>
          </w:tcPr>
          <w:p w14:paraId="6288F8C3">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每月</w:t>
            </w:r>
          </w:p>
          <w:p w14:paraId="0C3B11C7">
            <w:pPr>
              <w:keepNext w:val="0"/>
              <w:keepLines w:val="0"/>
              <w:pageBreakBefore w:val="0"/>
              <w:widowControl/>
              <w:kinsoku/>
              <w:wordWrap/>
              <w:overflowPunct/>
              <w:topLinePunct w:val="0"/>
              <w:autoSpaceDE/>
              <w:autoSpaceDN/>
              <w:bidi w:val="0"/>
              <w:adjustRightInd/>
              <w:snapToGrid/>
              <w:ind w:left="0"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700" w:type="dxa"/>
            <w:tcBorders>
              <w:bottom w:val="single" w:color="auto" w:sz="4" w:space="0"/>
            </w:tcBorders>
            <w:noWrap w:val="0"/>
            <w:vAlign w:val="center"/>
          </w:tcPr>
          <w:p w14:paraId="4A5C1004">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配线检查</w:t>
            </w:r>
          </w:p>
        </w:tc>
        <w:tc>
          <w:tcPr>
            <w:tcW w:w="3780" w:type="dxa"/>
            <w:tcBorders>
              <w:bottom w:val="single" w:color="auto" w:sz="4" w:space="0"/>
            </w:tcBorders>
            <w:noWrap w:val="0"/>
            <w:vAlign w:val="center"/>
          </w:tcPr>
          <w:p w14:paraId="4D74851D">
            <w:pPr>
              <w:keepNext w:val="0"/>
              <w:keepLines w:val="0"/>
              <w:pageBreakBefore w:val="0"/>
              <w:kinsoku/>
              <w:wordWrap/>
              <w:overflowPunct/>
              <w:topLinePunct w:val="0"/>
              <w:autoSpaceDE/>
              <w:autoSpaceDN/>
              <w:bidi w:val="0"/>
              <w:adjustRightInd/>
              <w:snapToGrid/>
              <w:ind w:left="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应排列整齐，固定良好，接点确实。</w:t>
            </w:r>
          </w:p>
        </w:tc>
      </w:tr>
    </w:tbl>
    <w:p w14:paraId="37037961">
      <w:pPr>
        <w:ind w:right="-109" w:rightChars="-52"/>
        <w:rPr>
          <w:rFonts w:hint="eastAsia" w:ascii="宋体" w:hAnsi="宋体" w:eastAsia="宋体" w:cs="宋体"/>
          <w:sz w:val="24"/>
          <w:lang w:val="en-US" w:eastAsia="zh-CN"/>
        </w:rPr>
      </w:pPr>
    </w:p>
    <w:p w14:paraId="5E4887C2">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2ED064E8">
      <w:pPr>
        <w:ind w:right="-109" w:rightChars="-52"/>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轿厢、外呼及底坑的保养</w:t>
      </w:r>
    </w:p>
    <w:tbl>
      <w:tblPr>
        <w:tblStyle w:val="23"/>
        <w:tblW w:w="927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495"/>
        <w:gridCol w:w="825"/>
        <w:gridCol w:w="2685"/>
        <w:gridCol w:w="3848"/>
      </w:tblGrid>
      <w:tr w14:paraId="12F8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noWrap w:val="0"/>
            <w:vAlign w:val="top"/>
          </w:tcPr>
          <w:p w14:paraId="08827394">
            <w:pPr>
              <w:ind w:right="-109" w:rightChars="-52"/>
              <w:jc w:val="center"/>
              <w:rPr>
                <w:rFonts w:hint="eastAsia" w:ascii="宋体" w:hAnsi="宋体" w:eastAsia="宋体" w:cs="宋体"/>
                <w:sz w:val="24"/>
              </w:rPr>
            </w:pPr>
            <w:r>
              <w:rPr>
                <w:rFonts w:hint="eastAsia" w:ascii="宋体" w:hAnsi="宋体" w:eastAsia="宋体" w:cs="宋体"/>
                <w:sz w:val="24"/>
              </w:rPr>
              <w:t>检查项目</w:t>
            </w:r>
          </w:p>
        </w:tc>
        <w:tc>
          <w:tcPr>
            <w:tcW w:w="1320" w:type="dxa"/>
            <w:gridSpan w:val="2"/>
            <w:noWrap w:val="0"/>
            <w:vAlign w:val="top"/>
          </w:tcPr>
          <w:p w14:paraId="3C50E430">
            <w:pPr>
              <w:ind w:right="-109" w:rightChars="-52"/>
              <w:rPr>
                <w:rFonts w:hint="eastAsia" w:ascii="宋体" w:hAnsi="宋体" w:eastAsia="宋体" w:cs="宋体"/>
                <w:sz w:val="24"/>
              </w:rPr>
            </w:pPr>
            <w:r>
              <w:rPr>
                <w:rFonts w:hint="eastAsia" w:ascii="宋体" w:hAnsi="宋体" w:eastAsia="宋体" w:cs="宋体"/>
                <w:sz w:val="24"/>
              </w:rPr>
              <w:t>方式</w:t>
            </w:r>
          </w:p>
        </w:tc>
        <w:tc>
          <w:tcPr>
            <w:tcW w:w="2685" w:type="dxa"/>
            <w:noWrap w:val="0"/>
            <w:vAlign w:val="top"/>
          </w:tcPr>
          <w:p w14:paraId="52A1718C">
            <w:pPr>
              <w:ind w:right="-109" w:rightChars="-52"/>
              <w:jc w:val="center"/>
              <w:rPr>
                <w:rFonts w:hint="eastAsia" w:ascii="宋体" w:hAnsi="宋体" w:eastAsia="宋体" w:cs="宋体"/>
                <w:sz w:val="24"/>
              </w:rPr>
            </w:pPr>
            <w:r>
              <w:rPr>
                <w:rFonts w:hint="eastAsia" w:ascii="宋体" w:hAnsi="宋体" w:eastAsia="宋体" w:cs="宋体"/>
                <w:sz w:val="24"/>
              </w:rPr>
              <w:t>检查内容</w:t>
            </w:r>
          </w:p>
        </w:tc>
        <w:tc>
          <w:tcPr>
            <w:tcW w:w="3848" w:type="dxa"/>
            <w:noWrap w:val="0"/>
            <w:vAlign w:val="top"/>
          </w:tcPr>
          <w:p w14:paraId="46DCAE2A">
            <w:pPr>
              <w:ind w:right="-109" w:rightChars="-52"/>
              <w:jc w:val="center"/>
              <w:rPr>
                <w:rFonts w:hint="eastAsia" w:ascii="宋体" w:hAnsi="宋体" w:eastAsia="宋体" w:cs="宋体"/>
                <w:sz w:val="24"/>
              </w:rPr>
            </w:pPr>
            <w:r>
              <w:rPr>
                <w:rFonts w:hint="eastAsia" w:ascii="宋体" w:hAnsi="宋体" w:eastAsia="宋体" w:cs="宋体"/>
                <w:sz w:val="24"/>
              </w:rPr>
              <w:t>判定标准</w:t>
            </w:r>
          </w:p>
        </w:tc>
      </w:tr>
      <w:tr w14:paraId="071D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trPr>
        <w:tc>
          <w:tcPr>
            <w:tcW w:w="1425" w:type="dxa"/>
            <w:tcBorders>
              <w:bottom w:val="single" w:color="auto" w:sz="4" w:space="0"/>
            </w:tcBorders>
            <w:noWrap w:val="0"/>
            <w:vAlign w:val="center"/>
          </w:tcPr>
          <w:p w14:paraId="43B86CD5">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w:t>
            </w:r>
          </w:p>
          <w:p w14:paraId="5BC35F4D">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轿厢及周壁</w:t>
            </w:r>
          </w:p>
        </w:tc>
        <w:tc>
          <w:tcPr>
            <w:tcW w:w="495" w:type="dxa"/>
            <w:tcBorders>
              <w:bottom w:val="single" w:color="auto" w:sz="4" w:space="0"/>
            </w:tcBorders>
            <w:noWrap w:val="0"/>
            <w:vAlign w:val="center"/>
          </w:tcPr>
          <w:p w14:paraId="4AB57E0A">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p w14:paraId="154ABBF7">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目</w:t>
            </w:r>
          </w:p>
          <w:p w14:paraId="5AF3EE39">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25" w:type="dxa"/>
            <w:tcBorders>
              <w:bottom w:val="single" w:color="auto" w:sz="4" w:space="0"/>
            </w:tcBorders>
            <w:noWrap w:val="0"/>
            <w:vAlign w:val="center"/>
          </w:tcPr>
          <w:p w14:paraId="7F188CF4">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每</w:t>
            </w:r>
          </w:p>
          <w:p w14:paraId="2643329C">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月</w:t>
            </w:r>
          </w:p>
          <w:p w14:paraId="0244249B">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二</w:t>
            </w:r>
          </w:p>
          <w:p w14:paraId="64834458">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685" w:type="dxa"/>
            <w:tcBorders>
              <w:bottom w:val="single" w:color="auto" w:sz="4" w:space="0"/>
            </w:tcBorders>
            <w:noWrap w:val="0"/>
            <w:vAlign w:val="center"/>
          </w:tcPr>
          <w:p w14:paraId="0E83735A">
            <w:pPr>
              <w:ind w:right="-109" w:rightChars="-52"/>
              <w:jc w:val="both"/>
              <w:rPr>
                <w:rFonts w:hint="eastAsia" w:ascii="宋体" w:hAnsi="宋体" w:eastAsia="宋体" w:cs="宋体"/>
                <w:sz w:val="24"/>
              </w:rPr>
            </w:pPr>
            <w:r>
              <w:rPr>
                <w:rFonts w:hint="eastAsia" w:ascii="宋体" w:hAnsi="宋体" w:eastAsia="宋体" w:cs="宋体"/>
                <w:sz w:val="24"/>
              </w:rPr>
              <w:t>1：主要结构</w:t>
            </w:r>
          </w:p>
          <w:p w14:paraId="18D73E2A">
            <w:pPr>
              <w:ind w:right="-109" w:rightChars="-52"/>
              <w:jc w:val="both"/>
              <w:rPr>
                <w:rFonts w:hint="eastAsia" w:ascii="宋体" w:hAnsi="宋体" w:eastAsia="宋体" w:cs="宋体"/>
                <w:sz w:val="24"/>
              </w:rPr>
            </w:pPr>
            <w:r>
              <w:rPr>
                <w:rFonts w:hint="eastAsia" w:ascii="宋体" w:hAnsi="宋体" w:eastAsia="宋体" w:cs="宋体"/>
                <w:sz w:val="24"/>
              </w:rPr>
              <w:t>2：两坎间隙</w:t>
            </w:r>
          </w:p>
          <w:p w14:paraId="5A676393">
            <w:pPr>
              <w:ind w:right="-109" w:rightChars="-52"/>
              <w:jc w:val="both"/>
              <w:rPr>
                <w:rFonts w:hint="eastAsia" w:ascii="宋体" w:hAnsi="宋体" w:eastAsia="宋体" w:cs="宋体"/>
                <w:sz w:val="24"/>
              </w:rPr>
            </w:pPr>
            <w:r>
              <w:rPr>
                <w:rFonts w:hint="eastAsia" w:ascii="宋体" w:hAnsi="宋体" w:eastAsia="宋体" w:cs="宋体"/>
                <w:sz w:val="24"/>
              </w:rPr>
              <w:t>3：通讯、照明、应急照明、通风及运行噪音。</w:t>
            </w:r>
          </w:p>
          <w:p w14:paraId="5C1B8134">
            <w:pPr>
              <w:ind w:right="-109" w:rightChars="-52"/>
              <w:jc w:val="both"/>
              <w:rPr>
                <w:rFonts w:hint="eastAsia" w:ascii="宋体" w:hAnsi="宋体" w:eastAsia="宋体" w:cs="宋体"/>
                <w:sz w:val="24"/>
              </w:rPr>
            </w:pPr>
            <w:r>
              <w:rPr>
                <w:rFonts w:hint="eastAsia" w:ascii="宋体" w:hAnsi="宋体" w:eastAsia="宋体" w:cs="宋体"/>
                <w:sz w:val="24"/>
              </w:rPr>
              <w:t>4：操作说明</w:t>
            </w:r>
          </w:p>
          <w:p w14:paraId="377F5FF1">
            <w:pPr>
              <w:ind w:right="-109" w:rightChars="-52"/>
              <w:jc w:val="both"/>
              <w:rPr>
                <w:rFonts w:hint="eastAsia" w:ascii="宋体" w:hAnsi="宋体" w:eastAsia="宋体" w:cs="宋体"/>
                <w:sz w:val="24"/>
              </w:rPr>
            </w:pPr>
            <w:r>
              <w:rPr>
                <w:rFonts w:hint="eastAsia" w:ascii="宋体" w:hAnsi="宋体" w:eastAsia="宋体" w:cs="宋体"/>
                <w:sz w:val="24"/>
              </w:rPr>
              <w:t>5：紧急联络说明</w:t>
            </w:r>
          </w:p>
          <w:p w14:paraId="1A746807">
            <w:pPr>
              <w:ind w:right="-109" w:rightChars="-52"/>
              <w:jc w:val="both"/>
              <w:rPr>
                <w:rFonts w:hint="eastAsia" w:ascii="宋体" w:hAnsi="宋体" w:eastAsia="宋体" w:cs="宋体"/>
                <w:sz w:val="24"/>
              </w:rPr>
            </w:pPr>
            <w:r>
              <w:rPr>
                <w:rFonts w:hint="eastAsia" w:ascii="宋体" w:hAnsi="宋体" w:eastAsia="宋体" w:cs="宋体"/>
                <w:sz w:val="24"/>
              </w:rPr>
              <w:t>6：载重量、保修单位及合格证</w:t>
            </w:r>
          </w:p>
        </w:tc>
        <w:tc>
          <w:tcPr>
            <w:tcW w:w="3848" w:type="dxa"/>
            <w:tcBorders>
              <w:bottom w:val="single" w:color="auto" w:sz="4" w:space="0"/>
            </w:tcBorders>
            <w:noWrap w:val="0"/>
            <w:vAlign w:val="center"/>
          </w:tcPr>
          <w:p w14:paraId="2B1D33EB">
            <w:pPr>
              <w:ind w:right="-109" w:rightChars="-52"/>
              <w:jc w:val="both"/>
              <w:rPr>
                <w:rFonts w:hint="eastAsia" w:ascii="宋体" w:hAnsi="宋体" w:eastAsia="宋体" w:cs="宋体"/>
                <w:sz w:val="24"/>
              </w:rPr>
            </w:pPr>
            <w:r>
              <w:rPr>
                <w:rFonts w:hint="eastAsia" w:ascii="宋体" w:hAnsi="宋体" w:eastAsia="宋体" w:cs="宋体"/>
                <w:sz w:val="24"/>
              </w:rPr>
              <w:t>不应以易燃材料围堵轿壁，吊顶应安装牢固。</w:t>
            </w:r>
          </w:p>
          <w:p w14:paraId="6D5C5AE6">
            <w:pPr>
              <w:ind w:right="-109" w:rightChars="-52"/>
              <w:jc w:val="both"/>
              <w:rPr>
                <w:rFonts w:hint="eastAsia" w:ascii="宋体" w:hAnsi="宋体" w:eastAsia="宋体" w:cs="宋体"/>
                <w:sz w:val="24"/>
              </w:rPr>
            </w:pPr>
            <w:r>
              <w:rPr>
                <w:rFonts w:hint="eastAsia" w:ascii="宋体" w:hAnsi="宋体" w:eastAsia="宋体" w:cs="宋体"/>
                <w:sz w:val="24"/>
              </w:rPr>
              <w:t>间隙应在3CM＋3MM之内。</w:t>
            </w:r>
          </w:p>
          <w:p w14:paraId="628C9229">
            <w:pPr>
              <w:ind w:right="-109" w:rightChars="-52"/>
              <w:jc w:val="both"/>
              <w:rPr>
                <w:rFonts w:hint="eastAsia" w:ascii="宋体" w:hAnsi="宋体" w:eastAsia="宋体" w:cs="宋体"/>
                <w:sz w:val="24"/>
              </w:rPr>
            </w:pPr>
            <w:r>
              <w:rPr>
                <w:rFonts w:hint="eastAsia" w:ascii="宋体" w:hAnsi="宋体" w:eastAsia="宋体" w:cs="宋体"/>
                <w:sz w:val="24"/>
              </w:rPr>
              <w:t>对讲机、应急灯应工作正常，通风机照明情况应良好。</w:t>
            </w:r>
          </w:p>
          <w:p w14:paraId="35D488CA">
            <w:pPr>
              <w:ind w:right="-109" w:rightChars="-52"/>
              <w:jc w:val="both"/>
              <w:rPr>
                <w:rFonts w:hint="eastAsia" w:ascii="宋体" w:hAnsi="宋体" w:eastAsia="宋体" w:cs="宋体"/>
                <w:sz w:val="24"/>
              </w:rPr>
            </w:pPr>
            <w:r>
              <w:rPr>
                <w:rFonts w:hint="eastAsia" w:ascii="宋体" w:hAnsi="宋体" w:eastAsia="宋体" w:cs="宋体"/>
                <w:sz w:val="24"/>
              </w:rPr>
              <w:t>电梯运行时应无异常噪音。</w:t>
            </w:r>
          </w:p>
          <w:p w14:paraId="53C5C28E">
            <w:pPr>
              <w:ind w:right="-109" w:rightChars="-52"/>
              <w:jc w:val="both"/>
              <w:rPr>
                <w:rFonts w:hint="eastAsia" w:ascii="宋体" w:hAnsi="宋体" w:eastAsia="宋体" w:cs="宋体"/>
                <w:sz w:val="24"/>
              </w:rPr>
            </w:pPr>
            <w:r>
              <w:rPr>
                <w:rFonts w:hint="eastAsia" w:ascii="宋体" w:hAnsi="宋体" w:eastAsia="宋体" w:cs="宋体"/>
                <w:sz w:val="24"/>
              </w:rPr>
              <w:t>操作说明应清楚易懂，应贴于易见之处。</w:t>
            </w:r>
          </w:p>
          <w:p w14:paraId="79B08F91">
            <w:pPr>
              <w:ind w:right="-109" w:rightChars="-52"/>
              <w:jc w:val="both"/>
              <w:rPr>
                <w:rFonts w:hint="eastAsia" w:ascii="宋体" w:hAnsi="宋体" w:eastAsia="宋体" w:cs="宋体"/>
                <w:sz w:val="24"/>
              </w:rPr>
            </w:pPr>
            <w:r>
              <w:rPr>
                <w:rFonts w:hint="eastAsia" w:ascii="宋体" w:hAnsi="宋体" w:eastAsia="宋体" w:cs="宋体"/>
                <w:sz w:val="24"/>
              </w:rPr>
              <w:t>应详细清楚应贴于易见之处。</w:t>
            </w:r>
          </w:p>
          <w:p w14:paraId="37AE9703">
            <w:pPr>
              <w:ind w:right="-109" w:rightChars="-52"/>
              <w:jc w:val="both"/>
              <w:rPr>
                <w:rFonts w:hint="eastAsia" w:ascii="宋体" w:hAnsi="宋体" w:eastAsia="宋体" w:cs="宋体"/>
                <w:sz w:val="24"/>
              </w:rPr>
            </w:pPr>
            <w:r>
              <w:rPr>
                <w:rFonts w:hint="eastAsia" w:ascii="宋体" w:hAnsi="宋体" w:eastAsia="宋体" w:cs="宋体"/>
                <w:sz w:val="24"/>
              </w:rPr>
              <w:t>内容应确实，应贴于易见之处。</w:t>
            </w:r>
          </w:p>
        </w:tc>
      </w:tr>
      <w:tr w14:paraId="4C1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25" w:type="dxa"/>
            <w:noWrap w:val="0"/>
            <w:vAlign w:val="center"/>
          </w:tcPr>
          <w:p w14:paraId="12C98276">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（2）</w:t>
            </w:r>
          </w:p>
          <w:p w14:paraId="1F86DA40">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轿门系统</w:t>
            </w:r>
          </w:p>
        </w:tc>
        <w:tc>
          <w:tcPr>
            <w:tcW w:w="495" w:type="dxa"/>
            <w:noWrap w:val="0"/>
            <w:vAlign w:val="center"/>
          </w:tcPr>
          <w:p w14:paraId="7B67D0D3">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实</w:t>
            </w:r>
          </w:p>
          <w:p w14:paraId="2C334F98">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25" w:type="dxa"/>
            <w:noWrap w:val="0"/>
            <w:vAlign w:val="center"/>
          </w:tcPr>
          <w:p w14:paraId="3B43ED65">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每月</w:t>
            </w:r>
          </w:p>
          <w:p w14:paraId="77F42700">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685" w:type="dxa"/>
            <w:noWrap w:val="0"/>
            <w:vAlign w:val="center"/>
          </w:tcPr>
          <w:p w14:paraId="25B6B0FF">
            <w:pPr>
              <w:ind w:right="-109" w:rightChars="-52"/>
              <w:jc w:val="both"/>
              <w:rPr>
                <w:rFonts w:hint="eastAsia" w:ascii="宋体" w:hAnsi="宋体" w:eastAsia="宋体" w:cs="宋体"/>
                <w:sz w:val="24"/>
              </w:rPr>
            </w:pPr>
            <w:r>
              <w:rPr>
                <w:rFonts w:hint="eastAsia" w:ascii="宋体" w:hAnsi="宋体" w:eastAsia="宋体" w:cs="宋体"/>
                <w:sz w:val="24"/>
              </w:rPr>
              <w:t>1：安全触板、光幕</w:t>
            </w:r>
          </w:p>
          <w:p w14:paraId="55950557">
            <w:pPr>
              <w:ind w:right="-109" w:rightChars="-52"/>
              <w:jc w:val="both"/>
              <w:rPr>
                <w:rFonts w:hint="eastAsia" w:ascii="宋体" w:hAnsi="宋体" w:eastAsia="宋体" w:cs="宋体"/>
                <w:sz w:val="24"/>
              </w:rPr>
            </w:pPr>
            <w:r>
              <w:rPr>
                <w:rFonts w:hint="eastAsia" w:ascii="宋体" w:hAnsi="宋体" w:eastAsia="宋体" w:cs="宋体"/>
                <w:sz w:val="24"/>
              </w:rPr>
              <w:t>2：轿门尺寸</w:t>
            </w:r>
          </w:p>
        </w:tc>
        <w:tc>
          <w:tcPr>
            <w:tcW w:w="3848" w:type="dxa"/>
            <w:noWrap w:val="0"/>
            <w:vAlign w:val="center"/>
          </w:tcPr>
          <w:p w14:paraId="30707927">
            <w:pPr>
              <w:ind w:right="-109" w:rightChars="-52"/>
              <w:jc w:val="both"/>
              <w:rPr>
                <w:rFonts w:hint="eastAsia" w:ascii="宋体" w:hAnsi="宋体" w:eastAsia="宋体" w:cs="宋体"/>
                <w:sz w:val="24"/>
              </w:rPr>
            </w:pPr>
            <w:r>
              <w:rPr>
                <w:rFonts w:hint="eastAsia" w:ascii="宋体" w:hAnsi="宋体" w:eastAsia="宋体" w:cs="宋体"/>
                <w:sz w:val="24"/>
              </w:rPr>
              <w:t>应灵活有效，开关门无噪声。</w:t>
            </w:r>
          </w:p>
          <w:p w14:paraId="1087285B">
            <w:pPr>
              <w:ind w:right="-109" w:rightChars="-52"/>
              <w:jc w:val="both"/>
              <w:rPr>
                <w:rFonts w:hint="eastAsia" w:ascii="宋体" w:hAnsi="宋体" w:eastAsia="宋体" w:cs="宋体"/>
                <w:sz w:val="24"/>
              </w:rPr>
            </w:pPr>
            <w:r>
              <w:rPr>
                <w:rFonts w:hint="eastAsia" w:ascii="宋体" w:hAnsi="宋体" w:eastAsia="宋体" w:cs="宋体"/>
                <w:sz w:val="24"/>
              </w:rPr>
              <w:t>与门套间隙＋－5MM，中缝不大于4MM。</w:t>
            </w:r>
          </w:p>
        </w:tc>
      </w:tr>
      <w:tr w14:paraId="5DFD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425" w:type="dxa"/>
            <w:noWrap w:val="0"/>
            <w:vAlign w:val="center"/>
          </w:tcPr>
          <w:p w14:paraId="709D9BA7">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（3）底坑</w:t>
            </w:r>
          </w:p>
        </w:tc>
        <w:tc>
          <w:tcPr>
            <w:tcW w:w="495" w:type="dxa"/>
            <w:noWrap w:val="0"/>
            <w:vAlign w:val="center"/>
          </w:tcPr>
          <w:p w14:paraId="3C273BA8">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p w14:paraId="601BADD9">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p w14:paraId="360987B1">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实</w:t>
            </w:r>
          </w:p>
          <w:p w14:paraId="3B0F742A">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25" w:type="dxa"/>
            <w:noWrap w:val="0"/>
            <w:vAlign w:val="center"/>
          </w:tcPr>
          <w:p w14:paraId="6C526DF9">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每</w:t>
            </w:r>
          </w:p>
          <w:p w14:paraId="3F68D8D7">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月</w:t>
            </w:r>
          </w:p>
          <w:p w14:paraId="735CE0B5">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二</w:t>
            </w:r>
          </w:p>
          <w:p w14:paraId="050FE9B4">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次</w:t>
            </w:r>
          </w:p>
        </w:tc>
        <w:tc>
          <w:tcPr>
            <w:tcW w:w="2685" w:type="dxa"/>
            <w:noWrap w:val="0"/>
            <w:vAlign w:val="center"/>
          </w:tcPr>
          <w:p w14:paraId="7D4BC558">
            <w:pPr>
              <w:ind w:right="-109" w:rightChars="-52"/>
              <w:jc w:val="both"/>
              <w:rPr>
                <w:rFonts w:hint="eastAsia" w:ascii="宋体" w:hAnsi="宋体" w:eastAsia="宋体" w:cs="宋体"/>
                <w:sz w:val="24"/>
              </w:rPr>
            </w:pPr>
            <w:r>
              <w:rPr>
                <w:rFonts w:hint="eastAsia" w:ascii="宋体" w:hAnsi="宋体" w:eastAsia="宋体" w:cs="宋体"/>
                <w:sz w:val="24"/>
              </w:rPr>
              <w:t>1：安全开关</w:t>
            </w:r>
          </w:p>
          <w:p w14:paraId="35A5A018">
            <w:pPr>
              <w:ind w:right="-109" w:rightChars="-52"/>
              <w:jc w:val="both"/>
              <w:rPr>
                <w:rFonts w:hint="eastAsia" w:ascii="宋体" w:hAnsi="宋体" w:eastAsia="宋体" w:cs="宋体"/>
                <w:sz w:val="24"/>
              </w:rPr>
            </w:pPr>
            <w:r>
              <w:rPr>
                <w:rFonts w:hint="eastAsia" w:ascii="宋体" w:hAnsi="宋体" w:eastAsia="宋体" w:cs="宋体"/>
                <w:sz w:val="24"/>
              </w:rPr>
              <w:t>2：照明</w:t>
            </w:r>
          </w:p>
          <w:p w14:paraId="75AB511B">
            <w:pPr>
              <w:ind w:right="-109" w:rightChars="-52"/>
              <w:jc w:val="both"/>
              <w:rPr>
                <w:rFonts w:hint="eastAsia" w:ascii="宋体" w:hAnsi="宋体" w:eastAsia="宋体" w:cs="宋体"/>
                <w:sz w:val="24"/>
              </w:rPr>
            </w:pPr>
            <w:r>
              <w:rPr>
                <w:rFonts w:hint="eastAsia" w:ascii="宋体" w:hAnsi="宋体" w:eastAsia="宋体" w:cs="宋体"/>
                <w:sz w:val="24"/>
              </w:rPr>
              <w:t>3：安全距离</w:t>
            </w:r>
          </w:p>
          <w:p w14:paraId="5F0804A9">
            <w:pPr>
              <w:ind w:right="-109" w:rightChars="-52"/>
              <w:jc w:val="both"/>
              <w:rPr>
                <w:rFonts w:hint="eastAsia" w:ascii="宋体" w:hAnsi="宋体" w:eastAsia="宋体" w:cs="宋体"/>
                <w:sz w:val="24"/>
              </w:rPr>
            </w:pPr>
            <w:r>
              <w:rPr>
                <w:rFonts w:hint="eastAsia" w:ascii="宋体" w:hAnsi="宋体" w:eastAsia="宋体" w:cs="宋体"/>
                <w:sz w:val="24"/>
              </w:rPr>
              <w:t>4：底坑地面</w:t>
            </w:r>
          </w:p>
          <w:p w14:paraId="7F9AD7F0">
            <w:pPr>
              <w:ind w:right="-109" w:rightChars="-52"/>
              <w:jc w:val="both"/>
              <w:rPr>
                <w:rFonts w:hint="eastAsia" w:ascii="宋体" w:hAnsi="宋体" w:eastAsia="宋体" w:cs="宋体"/>
                <w:sz w:val="24"/>
              </w:rPr>
            </w:pPr>
            <w:r>
              <w:rPr>
                <w:rFonts w:hint="eastAsia" w:ascii="宋体" w:hAnsi="宋体" w:eastAsia="宋体" w:cs="宋体"/>
                <w:sz w:val="24"/>
              </w:rPr>
              <w:t>5：张力轮</w:t>
            </w:r>
          </w:p>
          <w:p w14:paraId="5936DB2B">
            <w:pPr>
              <w:ind w:right="-109" w:rightChars="-52"/>
              <w:jc w:val="both"/>
              <w:rPr>
                <w:rFonts w:hint="eastAsia" w:ascii="宋体" w:hAnsi="宋体" w:eastAsia="宋体" w:cs="宋体"/>
                <w:sz w:val="24"/>
              </w:rPr>
            </w:pPr>
            <w:r>
              <w:rPr>
                <w:rFonts w:hint="eastAsia" w:ascii="宋体" w:hAnsi="宋体" w:eastAsia="宋体" w:cs="宋体"/>
                <w:sz w:val="24"/>
              </w:rPr>
              <w:t>6：补偿链</w:t>
            </w:r>
          </w:p>
          <w:p w14:paraId="6370CD73">
            <w:pPr>
              <w:ind w:right="-109" w:rightChars="-52"/>
              <w:jc w:val="both"/>
              <w:rPr>
                <w:rFonts w:hint="eastAsia" w:ascii="宋体" w:hAnsi="宋体" w:eastAsia="宋体" w:cs="宋体"/>
                <w:sz w:val="24"/>
              </w:rPr>
            </w:pPr>
            <w:r>
              <w:rPr>
                <w:rFonts w:hint="eastAsia" w:ascii="宋体" w:hAnsi="宋体" w:eastAsia="宋体" w:cs="宋体"/>
                <w:sz w:val="24"/>
              </w:rPr>
              <w:t>7：缓冲器</w:t>
            </w:r>
          </w:p>
        </w:tc>
        <w:tc>
          <w:tcPr>
            <w:tcW w:w="3848" w:type="dxa"/>
            <w:noWrap w:val="0"/>
            <w:vAlign w:val="center"/>
          </w:tcPr>
          <w:p w14:paraId="14A60D28">
            <w:pPr>
              <w:ind w:right="-109" w:rightChars="-52"/>
              <w:jc w:val="both"/>
              <w:rPr>
                <w:rFonts w:hint="eastAsia" w:ascii="宋体" w:hAnsi="宋体" w:eastAsia="宋体" w:cs="宋体"/>
                <w:sz w:val="24"/>
              </w:rPr>
            </w:pPr>
            <w:r>
              <w:rPr>
                <w:rFonts w:hint="eastAsia" w:ascii="宋体" w:hAnsi="宋体" w:eastAsia="宋体" w:cs="宋体"/>
                <w:sz w:val="24"/>
              </w:rPr>
              <w:t>1：各安全开关应动作可靠，一经碰触电梯应立即停止。</w:t>
            </w:r>
          </w:p>
          <w:p w14:paraId="3DB9EB13">
            <w:pPr>
              <w:ind w:right="-109" w:rightChars="-52"/>
              <w:jc w:val="both"/>
              <w:rPr>
                <w:rFonts w:hint="eastAsia" w:ascii="宋体" w:hAnsi="宋体" w:eastAsia="宋体" w:cs="宋体"/>
                <w:sz w:val="24"/>
              </w:rPr>
            </w:pPr>
            <w:r>
              <w:rPr>
                <w:rFonts w:hint="eastAsia" w:ascii="宋体" w:hAnsi="宋体" w:eastAsia="宋体" w:cs="宋体"/>
                <w:sz w:val="24"/>
              </w:rPr>
              <w:t>2；应为36V，100米烛光以上。</w:t>
            </w:r>
          </w:p>
          <w:p w14:paraId="08572BCD">
            <w:pPr>
              <w:ind w:right="-109" w:rightChars="-52"/>
              <w:jc w:val="both"/>
              <w:rPr>
                <w:rFonts w:hint="eastAsia" w:ascii="宋体" w:hAnsi="宋体" w:eastAsia="宋体" w:cs="宋体"/>
                <w:sz w:val="24"/>
              </w:rPr>
            </w:pPr>
            <w:r>
              <w:rPr>
                <w:rFonts w:hint="eastAsia" w:ascii="宋体" w:hAnsi="宋体" w:eastAsia="宋体" w:cs="宋体"/>
                <w:sz w:val="24"/>
              </w:rPr>
              <w:t>3：底坑深度应符合规范，电梯首层平层时，轿厢缓冲距离；油压式为150－400MM；弹簧式为200－350MM。</w:t>
            </w:r>
          </w:p>
          <w:p w14:paraId="3B608F2D">
            <w:pPr>
              <w:ind w:right="-109" w:rightChars="-52"/>
              <w:jc w:val="both"/>
              <w:rPr>
                <w:rFonts w:hint="eastAsia" w:ascii="宋体" w:hAnsi="宋体" w:eastAsia="宋体" w:cs="宋体"/>
                <w:sz w:val="24"/>
              </w:rPr>
            </w:pPr>
            <w:r>
              <w:rPr>
                <w:rFonts w:hint="eastAsia" w:ascii="宋体" w:hAnsi="宋体" w:eastAsia="宋体" w:cs="宋体"/>
                <w:sz w:val="24"/>
              </w:rPr>
              <w:t>电梯顶层平层时，对重缓冲距离；油压式为150－400MM，弹簧式为200－350MM</w:t>
            </w:r>
          </w:p>
          <w:p w14:paraId="5C534941">
            <w:pPr>
              <w:ind w:right="-109" w:rightChars="-52"/>
              <w:jc w:val="both"/>
              <w:rPr>
                <w:rFonts w:hint="eastAsia" w:ascii="宋体" w:hAnsi="宋体" w:eastAsia="宋体" w:cs="宋体"/>
                <w:sz w:val="24"/>
              </w:rPr>
            </w:pPr>
            <w:r>
              <w:rPr>
                <w:rFonts w:hint="eastAsia" w:ascii="宋体" w:hAnsi="宋体" w:eastAsia="宋体" w:cs="宋体"/>
                <w:sz w:val="24"/>
              </w:rPr>
              <w:t>4：底坑地面应无漏水、油污，防护栏安装适当。</w:t>
            </w:r>
          </w:p>
          <w:p w14:paraId="21187A37">
            <w:pPr>
              <w:ind w:right="-109" w:rightChars="-52"/>
              <w:jc w:val="both"/>
              <w:rPr>
                <w:rFonts w:hint="eastAsia" w:ascii="宋体" w:hAnsi="宋体" w:eastAsia="宋体" w:cs="宋体"/>
                <w:sz w:val="24"/>
              </w:rPr>
            </w:pPr>
            <w:r>
              <w:rPr>
                <w:rFonts w:hint="eastAsia" w:ascii="宋体" w:hAnsi="宋体" w:eastAsia="宋体" w:cs="宋体"/>
                <w:sz w:val="24"/>
              </w:rPr>
              <w:t>5：张力轮运行时应无噪音，与地面距离不小于300MM。</w:t>
            </w:r>
          </w:p>
          <w:p w14:paraId="621D7E91">
            <w:pPr>
              <w:ind w:right="-109" w:rightChars="-52"/>
              <w:jc w:val="both"/>
              <w:rPr>
                <w:rFonts w:hint="eastAsia" w:ascii="宋体" w:hAnsi="宋体" w:eastAsia="宋体" w:cs="宋体"/>
                <w:sz w:val="24"/>
              </w:rPr>
            </w:pPr>
            <w:r>
              <w:rPr>
                <w:rFonts w:hint="eastAsia" w:ascii="宋体" w:hAnsi="宋体" w:eastAsia="宋体" w:cs="宋体"/>
                <w:sz w:val="24"/>
              </w:rPr>
              <w:t>6：应牢固，无扭曲与地面距离不小于150MM。</w:t>
            </w:r>
          </w:p>
          <w:p w14:paraId="741B413E">
            <w:pPr>
              <w:ind w:right="-109" w:rightChars="-52"/>
              <w:jc w:val="both"/>
              <w:rPr>
                <w:rFonts w:hint="eastAsia" w:ascii="宋体" w:hAnsi="宋体" w:eastAsia="宋体" w:cs="宋体"/>
                <w:sz w:val="24"/>
              </w:rPr>
            </w:pPr>
            <w:r>
              <w:rPr>
                <w:rFonts w:hint="eastAsia" w:ascii="宋体" w:hAnsi="宋体" w:eastAsia="宋体" w:cs="宋体"/>
                <w:sz w:val="24"/>
              </w:rPr>
              <w:t>7：应无锈蚀，复位时间符合要求，油量适当。</w:t>
            </w:r>
          </w:p>
        </w:tc>
      </w:tr>
      <w:tr w14:paraId="467E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25" w:type="dxa"/>
            <w:noWrap w:val="0"/>
            <w:vAlign w:val="center"/>
          </w:tcPr>
          <w:p w14:paraId="1F9E170B">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（4）</w:t>
            </w:r>
          </w:p>
          <w:p w14:paraId="70530AF9">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外呼面板及显示器</w:t>
            </w:r>
          </w:p>
        </w:tc>
        <w:tc>
          <w:tcPr>
            <w:tcW w:w="495" w:type="dxa"/>
            <w:noWrap w:val="0"/>
            <w:vAlign w:val="center"/>
          </w:tcPr>
          <w:p w14:paraId="7E7E91C6">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目</w:t>
            </w:r>
          </w:p>
          <w:p w14:paraId="76FAF377">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视</w:t>
            </w:r>
          </w:p>
        </w:tc>
        <w:tc>
          <w:tcPr>
            <w:tcW w:w="825" w:type="dxa"/>
            <w:noWrap w:val="0"/>
            <w:vAlign w:val="center"/>
          </w:tcPr>
          <w:p w14:paraId="07008A49">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每月</w:t>
            </w:r>
          </w:p>
          <w:p w14:paraId="598BC350">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685" w:type="dxa"/>
            <w:noWrap w:val="0"/>
            <w:vAlign w:val="center"/>
          </w:tcPr>
          <w:p w14:paraId="3D77FF5B">
            <w:pPr>
              <w:ind w:right="-109" w:rightChars="-52"/>
              <w:jc w:val="both"/>
              <w:rPr>
                <w:rFonts w:hint="eastAsia" w:ascii="宋体" w:hAnsi="宋体" w:eastAsia="宋体" w:cs="宋体"/>
                <w:sz w:val="24"/>
              </w:rPr>
            </w:pPr>
            <w:r>
              <w:rPr>
                <w:rFonts w:hint="eastAsia" w:ascii="宋体" w:hAnsi="宋体" w:eastAsia="宋体" w:cs="宋体"/>
                <w:sz w:val="24"/>
              </w:rPr>
              <w:t>1：呼梯按钮</w:t>
            </w:r>
          </w:p>
          <w:p w14:paraId="42585357">
            <w:pPr>
              <w:ind w:right="-109" w:rightChars="-52"/>
              <w:jc w:val="both"/>
              <w:rPr>
                <w:rFonts w:hint="eastAsia" w:ascii="宋体" w:hAnsi="宋体" w:eastAsia="宋体" w:cs="宋体"/>
                <w:sz w:val="24"/>
              </w:rPr>
            </w:pPr>
            <w:r>
              <w:rPr>
                <w:rFonts w:hint="eastAsia" w:ascii="宋体" w:hAnsi="宋体" w:eastAsia="宋体" w:cs="宋体"/>
                <w:sz w:val="24"/>
              </w:rPr>
              <w:t>2：显示面板</w:t>
            </w:r>
          </w:p>
        </w:tc>
        <w:tc>
          <w:tcPr>
            <w:tcW w:w="3848" w:type="dxa"/>
            <w:noWrap w:val="0"/>
            <w:vAlign w:val="center"/>
          </w:tcPr>
          <w:p w14:paraId="16331AEB">
            <w:pPr>
              <w:ind w:right="-109" w:rightChars="-52"/>
              <w:jc w:val="both"/>
              <w:rPr>
                <w:rFonts w:hint="eastAsia" w:ascii="宋体" w:hAnsi="宋体" w:eastAsia="宋体" w:cs="宋体"/>
                <w:sz w:val="24"/>
              </w:rPr>
            </w:pPr>
            <w:r>
              <w:rPr>
                <w:rFonts w:hint="eastAsia" w:ascii="宋体" w:hAnsi="宋体" w:eastAsia="宋体" w:cs="宋体"/>
                <w:sz w:val="24"/>
              </w:rPr>
              <w:t>1；动作灵活、有效，无损伤。</w:t>
            </w:r>
          </w:p>
          <w:p w14:paraId="184EB3B3">
            <w:pPr>
              <w:ind w:right="-109" w:rightChars="-52"/>
              <w:jc w:val="both"/>
              <w:rPr>
                <w:rFonts w:hint="eastAsia" w:ascii="宋体" w:hAnsi="宋体" w:eastAsia="宋体" w:cs="宋体"/>
                <w:sz w:val="24"/>
              </w:rPr>
            </w:pPr>
            <w:r>
              <w:rPr>
                <w:rFonts w:hint="eastAsia" w:ascii="宋体" w:hAnsi="宋体" w:eastAsia="宋体" w:cs="宋体"/>
                <w:sz w:val="24"/>
              </w:rPr>
              <w:t>2：显示正确，无损伤。</w:t>
            </w:r>
          </w:p>
        </w:tc>
      </w:tr>
      <w:tr w14:paraId="251E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25" w:type="dxa"/>
            <w:tcBorders>
              <w:bottom w:val="single" w:color="auto" w:sz="4" w:space="0"/>
            </w:tcBorders>
            <w:noWrap w:val="0"/>
            <w:vAlign w:val="center"/>
          </w:tcPr>
          <w:p w14:paraId="655BFB2F">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（5）</w:t>
            </w:r>
          </w:p>
          <w:p w14:paraId="0AAC9C2F">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厅门</w:t>
            </w:r>
          </w:p>
        </w:tc>
        <w:tc>
          <w:tcPr>
            <w:tcW w:w="495" w:type="dxa"/>
            <w:tcBorders>
              <w:bottom w:val="single" w:color="auto" w:sz="4" w:space="0"/>
            </w:tcBorders>
            <w:noWrap w:val="0"/>
            <w:vAlign w:val="center"/>
          </w:tcPr>
          <w:p w14:paraId="418CCB46">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实</w:t>
            </w:r>
          </w:p>
          <w:p w14:paraId="79AB615A">
            <w:pPr>
              <w:keepNext w:val="0"/>
              <w:keepLines w:val="0"/>
              <w:pageBreakBefore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测</w:t>
            </w:r>
          </w:p>
        </w:tc>
        <w:tc>
          <w:tcPr>
            <w:tcW w:w="825" w:type="dxa"/>
            <w:tcBorders>
              <w:bottom w:val="single" w:color="auto" w:sz="4" w:space="0"/>
            </w:tcBorders>
            <w:noWrap w:val="0"/>
            <w:vAlign w:val="center"/>
          </w:tcPr>
          <w:p w14:paraId="51B99FA4">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每月</w:t>
            </w:r>
          </w:p>
          <w:p w14:paraId="715C686B">
            <w:pPr>
              <w:keepNext w:val="0"/>
              <w:keepLines w:val="0"/>
              <w:pageBreakBefore w:val="0"/>
              <w:widowControl/>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二次</w:t>
            </w:r>
          </w:p>
        </w:tc>
        <w:tc>
          <w:tcPr>
            <w:tcW w:w="2685" w:type="dxa"/>
            <w:tcBorders>
              <w:bottom w:val="single" w:color="auto" w:sz="4" w:space="0"/>
            </w:tcBorders>
            <w:noWrap w:val="0"/>
            <w:vAlign w:val="center"/>
          </w:tcPr>
          <w:p w14:paraId="55280987">
            <w:pPr>
              <w:ind w:right="-109" w:rightChars="-52"/>
              <w:jc w:val="both"/>
              <w:rPr>
                <w:rFonts w:hint="eastAsia" w:ascii="宋体" w:hAnsi="宋体" w:eastAsia="宋体" w:cs="宋体"/>
                <w:sz w:val="24"/>
              </w:rPr>
            </w:pPr>
            <w:r>
              <w:rPr>
                <w:rFonts w:hint="eastAsia" w:ascii="宋体" w:hAnsi="宋体" w:eastAsia="宋体" w:cs="宋体"/>
                <w:sz w:val="24"/>
              </w:rPr>
              <w:t>1：紧急开门装置</w:t>
            </w:r>
          </w:p>
          <w:p w14:paraId="003B82AF">
            <w:pPr>
              <w:ind w:right="-109" w:rightChars="-52"/>
              <w:jc w:val="both"/>
              <w:rPr>
                <w:rFonts w:hint="eastAsia" w:ascii="宋体" w:hAnsi="宋体" w:eastAsia="宋体" w:cs="宋体"/>
                <w:sz w:val="24"/>
              </w:rPr>
            </w:pPr>
            <w:r>
              <w:rPr>
                <w:rFonts w:hint="eastAsia" w:ascii="宋体" w:hAnsi="宋体" w:eastAsia="宋体" w:cs="宋体"/>
                <w:sz w:val="24"/>
              </w:rPr>
              <w:t>2：机械锁</w:t>
            </w:r>
          </w:p>
          <w:p w14:paraId="72DC24DD">
            <w:pPr>
              <w:ind w:right="-109" w:rightChars="-52"/>
              <w:jc w:val="both"/>
              <w:rPr>
                <w:rFonts w:hint="eastAsia" w:ascii="宋体" w:hAnsi="宋体" w:eastAsia="宋体" w:cs="宋体"/>
                <w:sz w:val="24"/>
              </w:rPr>
            </w:pPr>
            <w:r>
              <w:rPr>
                <w:rFonts w:hint="eastAsia" w:ascii="宋体" w:hAnsi="宋体" w:eastAsia="宋体" w:cs="宋体"/>
                <w:sz w:val="24"/>
              </w:rPr>
              <w:t>3：门间隙</w:t>
            </w:r>
          </w:p>
        </w:tc>
        <w:tc>
          <w:tcPr>
            <w:tcW w:w="3848" w:type="dxa"/>
            <w:tcBorders>
              <w:bottom w:val="single" w:color="auto" w:sz="4" w:space="0"/>
            </w:tcBorders>
            <w:noWrap w:val="0"/>
            <w:vAlign w:val="center"/>
          </w:tcPr>
          <w:p w14:paraId="4363213A">
            <w:pPr>
              <w:ind w:right="-109" w:rightChars="-52"/>
              <w:jc w:val="both"/>
              <w:rPr>
                <w:rFonts w:hint="eastAsia" w:ascii="宋体" w:hAnsi="宋体" w:eastAsia="宋体" w:cs="宋体"/>
                <w:sz w:val="24"/>
              </w:rPr>
            </w:pPr>
            <w:r>
              <w:rPr>
                <w:rFonts w:hint="eastAsia" w:ascii="宋体" w:hAnsi="宋体" w:eastAsia="宋体" w:cs="宋体"/>
                <w:sz w:val="24"/>
              </w:rPr>
              <w:t>1：应用三角钥匙才能开门。</w:t>
            </w:r>
          </w:p>
          <w:p w14:paraId="510F665C">
            <w:pPr>
              <w:ind w:right="-109" w:rightChars="-52"/>
              <w:jc w:val="both"/>
              <w:rPr>
                <w:rFonts w:hint="eastAsia" w:ascii="宋体" w:hAnsi="宋体" w:eastAsia="宋体" w:cs="宋体"/>
                <w:sz w:val="24"/>
              </w:rPr>
            </w:pPr>
            <w:r>
              <w:rPr>
                <w:rFonts w:hint="eastAsia" w:ascii="宋体" w:hAnsi="宋体" w:eastAsia="宋体" w:cs="宋体"/>
                <w:sz w:val="24"/>
              </w:rPr>
              <w:t>2：动作良好。</w:t>
            </w:r>
          </w:p>
          <w:p w14:paraId="33A28F77">
            <w:pPr>
              <w:ind w:right="-109" w:rightChars="-52"/>
              <w:jc w:val="both"/>
              <w:rPr>
                <w:rFonts w:hint="eastAsia" w:ascii="宋体" w:hAnsi="宋体" w:eastAsia="宋体" w:cs="宋体"/>
                <w:sz w:val="24"/>
              </w:rPr>
            </w:pPr>
            <w:r>
              <w:rPr>
                <w:rFonts w:hint="eastAsia" w:ascii="宋体" w:hAnsi="宋体" w:eastAsia="宋体" w:cs="宋体"/>
                <w:sz w:val="24"/>
              </w:rPr>
              <w:t>3：间隙为5MM左右。</w:t>
            </w:r>
          </w:p>
        </w:tc>
      </w:tr>
    </w:tbl>
    <w:p w14:paraId="172510D9">
      <w:pPr>
        <w:ind w:right="-109" w:rightChars="-52" w:firstLine="480" w:firstLineChars="200"/>
        <w:jc w:val="both"/>
        <w:rPr>
          <w:rFonts w:hint="eastAsia" w:ascii="宋体" w:hAnsi="宋体" w:cs="宋体"/>
          <w:sz w:val="24"/>
          <w:lang w:val="en-US" w:eastAsia="zh-CN"/>
        </w:rPr>
      </w:pPr>
    </w:p>
    <w:p w14:paraId="4A52885A">
      <w:pPr>
        <w:rPr>
          <w:rFonts w:hint="eastAsia" w:ascii="宋体" w:hAnsi="宋体" w:cs="宋体"/>
          <w:sz w:val="24"/>
          <w:lang w:val="en-US" w:eastAsia="zh-CN"/>
        </w:rPr>
      </w:pPr>
      <w:r>
        <w:rPr>
          <w:rFonts w:hint="eastAsia" w:ascii="宋体" w:hAnsi="宋体" w:cs="宋体"/>
          <w:sz w:val="24"/>
          <w:lang w:val="en-US" w:eastAsia="zh-CN"/>
        </w:rPr>
        <w:br w:type="page"/>
      </w:r>
    </w:p>
    <w:p w14:paraId="6B4B8A2E">
      <w:pPr>
        <w:ind w:right="-109" w:rightChars="-52" w:firstLine="480" w:firstLineChars="200"/>
        <w:jc w:val="both"/>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电梯的定期保养项目</w:t>
      </w:r>
    </w:p>
    <w:tbl>
      <w:tblPr>
        <w:tblStyle w:val="2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688"/>
        <w:gridCol w:w="2340"/>
        <w:gridCol w:w="2700"/>
      </w:tblGrid>
      <w:tr w14:paraId="3973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092" w:type="dxa"/>
            <w:tcBorders>
              <w:top w:val="single" w:color="auto" w:sz="4" w:space="0"/>
              <w:left w:val="single" w:color="auto" w:sz="4" w:space="0"/>
              <w:bottom w:val="single" w:color="auto" w:sz="4" w:space="0"/>
              <w:right w:val="nil"/>
            </w:tcBorders>
            <w:noWrap w:val="0"/>
            <w:vAlign w:val="center"/>
          </w:tcPr>
          <w:p w14:paraId="5F4EF68C">
            <w:pPr>
              <w:ind w:right="-109" w:rightChars="-52"/>
              <w:jc w:val="center"/>
              <w:rPr>
                <w:rFonts w:hint="eastAsia" w:ascii="宋体" w:hAnsi="宋体" w:eastAsia="宋体" w:cs="宋体"/>
                <w:sz w:val="24"/>
                <w:szCs w:val="24"/>
              </w:rPr>
            </w:pPr>
            <w:r>
              <w:rPr>
                <w:rFonts w:hint="eastAsia" w:ascii="宋体" w:hAnsi="宋体" w:eastAsia="宋体" w:cs="宋体"/>
                <w:sz w:val="24"/>
                <w:szCs w:val="24"/>
              </w:rPr>
              <w:t>位置</w:t>
            </w:r>
          </w:p>
        </w:tc>
        <w:tc>
          <w:tcPr>
            <w:tcW w:w="2688" w:type="dxa"/>
            <w:tcBorders>
              <w:top w:val="single" w:color="auto" w:sz="4" w:space="0"/>
              <w:left w:val="single" w:color="auto" w:sz="4" w:space="0"/>
              <w:bottom w:val="single" w:color="auto" w:sz="4" w:space="0"/>
              <w:right w:val="nil"/>
            </w:tcBorders>
            <w:noWrap w:val="0"/>
            <w:vAlign w:val="center"/>
          </w:tcPr>
          <w:p w14:paraId="34E70C17">
            <w:pPr>
              <w:ind w:right="-109" w:rightChars="-52"/>
              <w:jc w:val="center"/>
              <w:rPr>
                <w:rFonts w:hint="eastAsia" w:ascii="宋体" w:hAnsi="宋体" w:eastAsia="宋体" w:cs="宋体"/>
                <w:sz w:val="24"/>
                <w:szCs w:val="24"/>
              </w:rPr>
            </w:pPr>
            <w:r>
              <w:rPr>
                <w:rFonts w:hint="eastAsia" w:ascii="宋体" w:hAnsi="宋体" w:eastAsia="宋体" w:cs="宋体"/>
                <w:sz w:val="24"/>
                <w:szCs w:val="24"/>
              </w:rPr>
              <w:t>项目</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B27E0CF">
            <w:pPr>
              <w:ind w:left="2" w:leftChars="-85" w:right="-109" w:rightChars="-52" w:hanging="180" w:hangingChars="75"/>
              <w:jc w:val="center"/>
              <w:rPr>
                <w:rFonts w:hint="eastAsia" w:ascii="宋体" w:hAnsi="宋体" w:eastAsia="宋体" w:cs="宋体"/>
                <w:sz w:val="24"/>
                <w:szCs w:val="24"/>
              </w:rPr>
            </w:pPr>
            <w:r>
              <w:rPr>
                <w:rFonts w:hint="eastAsia" w:ascii="宋体" w:hAnsi="宋体" w:eastAsia="宋体" w:cs="宋体"/>
                <w:sz w:val="24"/>
                <w:szCs w:val="24"/>
              </w:rPr>
              <w:t>周期</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DD29DF8">
            <w:pPr>
              <w:ind w:right="-109" w:rightChars="-52"/>
              <w:jc w:val="center"/>
              <w:rPr>
                <w:rFonts w:hint="eastAsia" w:ascii="宋体" w:hAnsi="宋体" w:eastAsia="宋体" w:cs="宋体"/>
                <w:sz w:val="24"/>
                <w:szCs w:val="24"/>
              </w:rPr>
            </w:pPr>
            <w:r>
              <w:rPr>
                <w:rFonts w:hint="eastAsia" w:ascii="宋体" w:hAnsi="宋体" w:eastAsia="宋体" w:cs="宋体"/>
                <w:sz w:val="24"/>
                <w:szCs w:val="24"/>
              </w:rPr>
              <w:t>备注</w:t>
            </w:r>
          </w:p>
        </w:tc>
      </w:tr>
      <w:tr w14:paraId="1D2F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92" w:type="dxa"/>
            <w:vMerge w:val="restart"/>
            <w:tcBorders>
              <w:top w:val="single" w:color="auto" w:sz="4" w:space="0"/>
              <w:left w:val="single" w:color="auto" w:sz="4" w:space="0"/>
              <w:right w:val="nil"/>
            </w:tcBorders>
            <w:noWrap w:val="0"/>
            <w:vAlign w:val="center"/>
          </w:tcPr>
          <w:p w14:paraId="3C66719D">
            <w:pPr>
              <w:ind w:right="-109" w:rightChars="-52"/>
              <w:jc w:val="center"/>
              <w:rPr>
                <w:rFonts w:hint="eastAsia" w:ascii="宋体" w:hAnsi="宋体" w:eastAsia="宋体" w:cs="宋体"/>
                <w:sz w:val="24"/>
                <w:szCs w:val="24"/>
              </w:rPr>
            </w:pPr>
            <w:r>
              <w:rPr>
                <w:rFonts w:hint="eastAsia" w:ascii="宋体" w:hAnsi="宋体" w:eastAsia="宋体" w:cs="宋体"/>
                <w:sz w:val="24"/>
                <w:szCs w:val="24"/>
              </w:rPr>
              <w:t>(1)</w:t>
            </w:r>
          </w:p>
          <w:p w14:paraId="4E05EDEA">
            <w:pPr>
              <w:ind w:right="-109" w:rightChars="-52"/>
              <w:jc w:val="center"/>
              <w:rPr>
                <w:rFonts w:hint="eastAsia" w:ascii="宋体" w:hAnsi="宋体" w:eastAsia="宋体" w:cs="宋体"/>
                <w:sz w:val="24"/>
                <w:szCs w:val="24"/>
              </w:rPr>
            </w:pPr>
            <w:r>
              <w:rPr>
                <w:rFonts w:hint="eastAsia" w:ascii="宋体" w:hAnsi="宋体" w:eastAsia="宋体" w:cs="宋体"/>
                <w:sz w:val="24"/>
                <w:szCs w:val="24"/>
              </w:rPr>
              <w:t>机</w:t>
            </w:r>
          </w:p>
          <w:p w14:paraId="797428E9">
            <w:pPr>
              <w:ind w:right="-109" w:rightChars="-52"/>
              <w:jc w:val="center"/>
              <w:rPr>
                <w:rFonts w:hint="eastAsia" w:ascii="宋体" w:hAnsi="宋体" w:eastAsia="宋体" w:cs="宋体"/>
                <w:sz w:val="24"/>
                <w:szCs w:val="24"/>
              </w:rPr>
            </w:pPr>
            <w:r>
              <w:rPr>
                <w:rFonts w:hint="eastAsia" w:ascii="宋体" w:hAnsi="宋体" w:eastAsia="宋体" w:cs="宋体"/>
                <w:sz w:val="24"/>
                <w:szCs w:val="24"/>
              </w:rPr>
              <w:t>房</w:t>
            </w:r>
          </w:p>
        </w:tc>
        <w:tc>
          <w:tcPr>
            <w:tcW w:w="2688" w:type="dxa"/>
            <w:tcBorders>
              <w:top w:val="single" w:color="auto" w:sz="4" w:space="0"/>
              <w:left w:val="single" w:color="auto" w:sz="4" w:space="0"/>
              <w:bottom w:val="single" w:color="auto" w:sz="4" w:space="0"/>
              <w:right w:val="nil"/>
            </w:tcBorders>
            <w:noWrap w:val="0"/>
            <w:vAlign w:val="center"/>
          </w:tcPr>
          <w:p w14:paraId="5A6B78C7">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曳引轮垂直度校正</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C72785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176B60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0＋2－0毫米</w:t>
            </w:r>
          </w:p>
        </w:tc>
      </w:tr>
      <w:tr w14:paraId="120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092" w:type="dxa"/>
            <w:vMerge w:val="continue"/>
            <w:tcBorders>
              <w:left w:val="single" w:color="auto" w:sz="4" w:space="0"/>
              <w:right w:val="nil"/>
            </w:tcBorders>
            <w:noWrap w:val="0"/>
            <w:vAlign w:val="center"/>
          </w:tcPr>
          <w:p w14:paraId="32596A35">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right w:val="nil"/>
            </w:tcBorders>
            <w:noWrap w:val="0"/>
            <w:vAlign w:val="center"/>
          </w:tcPr>
          <w:p w14:paraId="0BA4C476">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导向轮垂直度校正</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3D030F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DB5268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0±1.5毫米</w:t>
            </w:r>
          </w:p>
        </w:tc>
      </w:tr>
      <w:tr w14:paraId="54CD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092" w:type="dxa"/>
            <w:vMerge w:val="continue"/>
            <w:tcBorders>
              <w:left w:val="single" w:color="auto" w:sz="4" w:space="0"/>
              <w:right w:val="nil"/>
            </w:tcBorders>
            <w:noWrap w:val="0"/>
            <w:vAlign w:val="center"/>
          </w:tcPr>
          <w:p w14:paraId="66FFAE3C">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right w:val="nil"/>
            </w:tcBorders>
            <w:noWrap w:val="0"/>
            <w:vAlign w:val="center"/>
          </w:tcPr>
          <w:p w14:paraId="0A29F45E">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导向轮与曳引轮平行度校正</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640B73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7637CB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误差≤1毫米</w:t>
            </w:r>
          </w:p>
        </w:tc>
      </w:tr>
      <w:tr w14:paraId="2A9F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92" w:type="dxa"/>
            <w:vMerge w:val="continue"/>
            <w:tcBorders>
              <w:left w:val="single" w:color="auto" w:sz="4" w:space="0"/>
              <w:right w:val="nil"/>
            </w:tcBorders>
            <w:noWrap w:val="0"/>
            <w:vAlign w:val="center"/>
          </w:tcPr>
          <w:p w14:paraId="6D97EED9">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right w:val="nil"/>
            </w:tcBorders>
            <w:noWrap w:val="0"/>
            <w:vAlign w:val="center"/>
          </w:tcPr>
          <w:p w14:paraId="32A8FC4B">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制动器拆洗</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EFB3DD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3CCF3A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p>
        </w:tc>
      </w:tr>
      <w:tr w14:paraId="2505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92" w:type="dxa"/>
            <w:vMerge w:val="continue"/>
            <w:tcBorders>
              <w:left w:val="single" w:color="auto" w:sz="4" w:space="0"/>
              <w:right w:val="nil"/>
            </w:tcBorders>
            <w:noWrap w:val="0"/>
            <w:vAlign w:val="center"/>
          </w:tcPr>
          <w:p w14:paraId="2B40B91D">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right w:val="nil"/>
            </w:tcBorders>
            <w:noWrap w:val="0"/>
            <w:vAlign w:val="center"/>
          </w:tcPr>
          <w:p w14:paraId="5F2B4B27">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钢丝绳平层标志刷新</w:t>
            </w:r>
          </w:p>
        </w:tc>
        <w:tc>
          <w:tcPr>
            <w:tcW w:w="2340" w:type="dxa"/>
            <w:tcBorders>
              <w:top w:val="single" w:color="auto" w:sz="4" w:space="0"/>
              <w:left w:val="single" w:color="auto" w:sz="4" w:space="0"/>
              <w:right w:val="single" w:color="auto" w:sz="4" w:space="0"/>
            </w:tcBorders>
            <w:noWrap w:val="0"/>
            <w:vAlign w:val="center"/>
          </w:tcPr>
          <w:p w14:paraId="1352229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right w:val="single" w:color="auto" w:sz="4" w:space="0"/>
            </w:tcBorders>
            <w:noWrap w:val="0"/>
            <w:vAlign w:val="center"/>
          </w:tcPr>
          <w:p w14:paraId="1CB1104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红漆或黄漆</w:t>
            </w:r>
          </w:p>
        </w:tc>
      </w:tr>
      <w:tr w14:paraId="6109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92" w:type="dxa"/>
            <w:vMerge w:val="restart"/>
            <w:tcBorders>
              <w:left w:val="single" w:color="auto" w:sz="4" w:space="0"/>
              <w:right w:val="nil"/>
            </w:tcBorders>
            <w:noWrap w:val="0"/>
            <w:vAlign w:val="center"/>
          </w:tcPr>
          <w:p w14:paraId="5C82E744">
            <w:pPr>
              <w:ind w:right="-109" w:rightChars="-52"/>
              <w:jc w:val="center"/>
              <w:rPr>
                <w:rFonts w:hint="eastAsia" w:ascii="宋体" w:hAnsi="宋体" w:eastAsia="宋体" w:cs="宋体"/>
                <w:sz w:val="24"/>
                <w:szCs w:val="24"/>
              </w:rPr>
            </w:pPr>
            <w:r>
              <w:rPr>
                <w:rFonts w:hint="eastAsia" w:ascii="宋体" w:hAnsi="宋体" w:eastAsia="宋体" w:cs="宋体"/>
                <w:sz w:val="24"/>
                <w:szCs w:val="24"/>
              </w:rPr>
              <w:t>（2）</w:t>
            </w:r>
          </w:p>
          <w:p w14:paraId="073CA828">
            <w:pPr>
              <w:ind w:right="-109" w:rightChars="-52"/>
              <w:jc w:val="center"/>
              <w:rPr>
                <w:rFonts w:hint="eastAsia" w:ascii="宋体" w:hAnsi="宋体" w:eastAsia="宋体" w:cs="宋体"/>
                <w:sz w:val="24"/>
                <w:szCs w:val="24"/>
              </w:rPr>
            </w:pPr>
            <w:r>
              <w:rPr>
                <w:rFonts w:hint="eastAsia" w:ascii="宋体" w:hAnsi="宋体" w:eastAsia="宋体" w:cs="宋体"/>
                <w:sz w:val="24"/>
                <w:szCs w:val="24"/>
              </w:rPr>
              <w:t>轿</w:t>
            </w:r>
          </w:p>
          <w:p w14:paraId="0DC880E2">
            <w:pPr>
              <w:ind w:right="-109" w:rightChars="-52"/>
              <w:jc w:val="center"/>
              <w:rPr>
                <w:rFonts w:hint="eastAsia" w:ascii="宋体" w:hAnsi="宋体" w:eastAsia="宋体" w:cs="宋体"/>
                <w:sz w:val="24"/>
                <w:szCs w:val="24"/>
              </w:rPr>
            </w:pPr>
            <w:r>
              <w:rPr>
                <w:rFonts w:hint="eastAsia" w:ascii="宋体" w:hAnsi="宋体" w:eastAsia="宋体" w:cs="宋体"/>
                <w:sz w:val="24"/>
                <w:szCs w:val="24"/>
              </w:rPr>
              <w:t>厢</w:t>
            </w:r>
          </w:p>
        </w:tc>
        <w:tc>
          <w:tcPr>
            <w:tcW w:w="2688" w:type="dxa"/>
            <w:tcBorders>
              <w:top w:val="single" w:color="auto" w:sz="4" w:space="0"/>
              <w:left w:val="single" w:color="auto" w:sz="4" w:space="0"/>
              <w:right w:val="single" w:color="auto" w:sz="4" w:space="0"/>
            </w:tcBorders>
            <w:noWrap w:val="0"/>
            <w:vAlign w:val="center"/>
          </w:tcPr>
          <w:p w14:paraId="263DC0E1">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载荷校正</w:t>
            </w:r>
          </w:p>
        </w:tc>
        <w:tc>
          <w:tcPr>
            <w:tcW w:w="2340" w:type="dxa"/>
            <w:tcBorders>
              <w:top w:val="single" w:color="auto" w:sz="4" w:space="0"/>
              <w:left w:val="single" w:color="auto" w:sz="4" w:space="0"/>
              <w:right w:val="single" w:color="auto" w:sz="4" w:space="0"/>
            </w:tcBorders>
            <w:noWrap w:val="0"/>
            <w:vAlign w:val="center"/>
          </w:tcPr>
          <w:p w14:paraId="74C99CB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single" w:color="auto" w:sz="4" w:space="0"/>
              <w:right w:val="single" w:color="auto" w:sz="4" w:space="0"/>
            </w:tcBorders>
            <w:noWrap w:val="0"/>
            <w:vAlign w:val="center"/>
          </w:tcPr>
          <w:p w14:paraId="78CD39E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砝码校正</w:t>
            </w:r>
          </w:p>
        </w:tc>
      </w:tr>
      <w:tr w14:paraId="05A5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92" w:type="dxa"/>
            <w:vMerge w:val="continue"/>
            <w:tcBorders>
              <w:left w:val="single" w:color="auto" w:sz="4" w:space="0"/>
              <w:right w:val="single" w:color="auto" w:sz="4" w:space="0"/>
            </w:tcBorders>
            <w:noWrap w:val="0"/>
            <w:vAlign w:val="center"/>
          </w:tcPr>
          <w:p w14:paraId="423CC15D">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tcBorders>
            <w:noWrap w:val="0"/>
            <w:vAlign w:val="center"/>
          </w:tcPr>
          <w:p w14:paraId="6912658D">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轿厢垂直校正</w:t>
            </w:r>
          </w:p>
        </w:tc>
        <w:tc>
          <w:tcPr>
            <w:tcW w:w="2340" w:type="dxa"/>
            <w:tcBorders>
              <w:top w:val="single" w:color="auto" w:sz="4" w:space="0"/>
              <w:left w:val="nil"/>
              <w:bottom w:val="single" w:color="auto" w:sz="4" w:space="0"/>
            </w:tcBorders>
            <w:noWrap w:val="0"/>
            <w:vAlign w:val="center"/>
          </w:tcPr>
          <w:p w14:paraId="7A94AA1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bottom w:val="single" w:color="auto" w:sz="4" w:space="0"/>
            </w:tcBorders>
            <w:noWrap w:val="0"/>
            <w:vAlign w:val="center"/>
          </w:tcPr>
          <w:p w14:paraId="07BAD5B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p>
        </w:tc>
      </w:tr>
      <w:tr w14:paraId="0A06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92" w:type="dxa"/>
            <w:vMerge w:val="continue"/>
            <w:tcBorders>
              <w:left w:val="single" w:color="auto" w:sz="4" w:space="0"/>
              <w:right w:val="single" w:color="auto" w:sz="4" w:space="0"/>
            </w:tcBorders>
            <w:noWrap w:val="0"/>
            <w:vAlign w:val="center"/>
          </w:tcPr>
          <w:p w14:paraId="27F98F9E">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tcBorders>
            <w:noWrap w:val="0"/>
            <w:vAlign w:val="center"/>
          </w:tcPr>
          <w:p w14:paraId="30843323">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安全钳拆洗调整</w:t>
            </w:r>
          </w:p>
        </w:tc>
        <w:tc>
          <w:tcPr>
            <w:tcW w:w="2340" w:type="dxa"/>
            <w:tcBorders>
              <w:top w:val="single" w:color="auto" w:sz="4" w:space="0"/>
              <w:left w:val="nil"/>
              <w:bottom w:val="single" w:color="auto" w:sz="4" w:space="0"/>
            </w:tcBorders>
            <w:noWrap w:val="0"/>
            <w:vAlign w:val="center"/>
          </w:tcPr>
          <w:p w14:paraId="60F5B65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bottom w:val="single" w:color="auto" w:sz="4" w:space="0"/>
            </w:tcBorders>
            <w:noWrap w:val="0"/>
            <w:vAlign w:val="center"/>
          </w:tcPr>
          <w:p w14:paraId="43633BF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煤油清洗</w:t>
            </w:r>
          </w:p>
        </w:tc>
      </w:tr>
      <w:tr w14:paraId="2EF0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92" w:type="dxa"/>
            <w:vMerge w:val="continue"/>
            <w:tcBorders>
              <w:left w:val="single" w:color="auto" w:sz="4" w:space="0"/>
              <w:bottom w:val="single" w:color="auto" w:sz="4" w:space="0"/>
              <w:right w:val="single" w:color="auto" w:sz="4" w:space="0"/>
            </w:tcBorders>
            <w:noWrap w:val="0"/>
            <w:vAlign w:val="center"/>
          </w:tcPr>
          <w:p w14:paraId="5D40BBB1">
            <w:pPr>
              <w:ind w:right="-109" w:rightChars="-52"/>
              <w:jc w:val="center"/>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tcBorders>
            <w:noWrap w:val="0"/>
            <w:vAlign w:val="center"/>
          </w:tcPr>
          <w:p w14:paraId="3D23F3B3">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启动舒适感调整</w:t>
            </w:r>
          </w:p>
        </w:tc>
        <w:tc>
          <w:tcPr>
            <w:tcW w:w="2340" w:type="dxa"/>
            <w:tcBorders>
              <w:top w:val="single" w:color="auto" w:sz="4" w:space="0"/>
              <w:left w:val="nil"/>
              <w:bottom w:val="single" w:color="auto" w:sz="4" w:space="0"/>
            </w:tcBorders>
            <w:noWrap w:val="0"/>
            <w:vAlign w:val="center"/>
          </w:tcPr>
          <w:p w14:paraId="62553FF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bottom w:val="single" w:color="auto" w:sz="4" w:space="0"/>
            </w:tcBorders>
            <w:noWrap w:val="0"/>
            <w:vAlign w:val="center"/>
          </w:tcPr>
          <w:p w14:paraId="6BBC744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p>
        </w:tc>
      </w:tr>
      <w:tr w14:paraId="3017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92" w:type="dxa"/>
            <w:vMerge w:val="restart"/>
            <w:tcBorders>
              <w:left w:val="single" w:color="auto" w:sz="4" w:space="0"/>
              <w:right w:val="single" w:color="auto" w:sz="4" w:space="0"/>
            </w:tcBorders>
            <w:noWrap w:val="0"/>
            <w:vAlign w:val="center"/>
          </w:tcPr>
          <w:p w14:paraId="0E1291E4">
            <w:pPr>
              <w:ind w:right="-109" w:rightChars="-52"/>
              <w:jc w:val="center"/>
              <w:rPr>
                <w:rFonts w:hint="eastAsia" w:ascii="宋体" w:hAnsi="宋体" w:eastAsia="宋体" w:cs="宋体"/>
                <w:sz w:val="24"/>
                <w:szCs w:val="24"/>
              </w:rPr>
            </w:pPr>
            <w:r>
              <w:rPr>
                <w:rFonts w:hint="eastAsia" w:ascii="宋体" w:hAnsi="宋体" w:eastAsia="宋体" w:cs="宋体"/>
                <w:sz w:val="24"/>
                <w:szCs w:val="24"/>
              </w:rPr>
              <w:t>（3）</w:t>
            </w:r>
          </w:p>
          <w:p w14:paraId="727852A5">
            <w:pPr>
              <w:ind w:right="-109" w:rightChars="-52"/>
              <w:jc w:val="center"/>
              <w:rPr>
                <w:rFonts w:hint="eastAsia" w:ascii="宋体" w:hAnsi="宋体" w:eastAsia="宋体" w:cs="宋体"/>
                <w:sz w:val="24"/>
                <w:szCs w:val="24"/>
              </w:rPr>
            </w:pPr>
            <w:r>
              <w:rPr>
                <w:rFonts w:hint="eastAsia" w:ascii="宋体" w:hAnsi="宋体" w:eastAsia="宋体" w:cs="宋体"/>
                <w:sz w:val="24"/>
                <w:szCs w:val="24"/>
              </w:rPr>
              <w:t>井</w:t>
            </w:r>
          </w:p>
          <w:p w14:paraId="3EFB531B">
            <w:pPr>
              <w:ind w:right="-109" w:rightChars="-52"/>
              <w:jc w:val="center"/>
              <w:rPr>
                <w:rFonts w:hint="eastAsia" w:ascii="宋体" w:hAnsi="宋体" w:eastAsia="宋体" w:cs="宋体"/>
                <w:sz w:val="24"/>
                <w:szCs w:val="24"/>
              </w:rPr>
            </w:pPr>
            <w:r>
              <w:rPr>
                <w:rFonts w:hint="eastAsia" w:ascii="宋体" w:hAnsi="宋体" w:eastAsia="宋体" w:cs="宋体"/>
                <w:sz w:val="24"/>
                <w:szCs w:val="24"/>
              </w:rPr>
              <w:t>道</w:t>
            </w:r>
          </w:p>
        </w:tc>
        <w:tc>
          <w:tcPr>
            <w:tcW w:w="2688" w:type="dxa"/>
            <w:tcBorders>
              <w:top w:val="single" w:color="auto" w:sz="4" w:space="0"/>
              <w:left w:val="single" w:color="auto" w:sz="4" w:space="0"/>
            </w:tcBorders>
            <w:noWrap w:val="0"/>
            <w:vAlign w:val="center"/>
          </w:tcPr>
          <w:p w14:paraId="5EC56C4F">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缓冲器复位试验</w:t>
            </w:r>
          </w:p>
        </w:tc>
        <w:tc>
          <w:tcPr>
            <w:tcW w:w="2340" w:type="dxa"/>
            <w:tcBorders>
              <w:top w:val="single" w:color="auto" w:sz="4" w:space="0"/>
            </w:tcBorders>
            <w:noWrap w:val="0"/>
            <w:vAlign w:val="center"/>
          </w:tcPr>
          <w:p w14:paraId="0364A20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tcBorders>
            <w:noWrap w:val="0"/>
            <w:vAlign w:val="center"/>
          </w:tcPr>
          <w:p w14:paraId="61E14D2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复位时间＜120S</w:t>
            </w:r>
          </w:p>
        </w:tc>
      </w:tr>
      <w:tr w14:paraId="5E76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92" w:type="dxa"/>
            <w:vMerge w:val="continue"/>
            <w:tcBorders>
              <w:left w:val="single" w:color="auto" w:sz="4" w:space="0"/>
              <w:right w:val="single" w:color="auto" w:sz="4" w:space="0"/>
            </w:tcBorders>
            <w:noWrap w:val="0"/>
            <w:vAlign w:val="top"/>
          </w:tcPr>
          <w:p w14:paraId="27CF081F">
            <w:pPr>
              <w:ind w:right="-109" w:rightChars="-52"/>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tcBorders>
            <w:noWrap w:val="0"/>
            <w:vAlign w:val="center"/>
          </w:tcPr>
          <w:p w14:paraId="7FA09098">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曳引钢丝绳伸长测量</w:t>
            </w:r>
          </w:p>
        </w:tc>
        <w:tc>
          <w:tcPr>
            <w:tcW w:w="2340" w:type="dxa"/>
            <w:tcBorders>
              <w:top w:val="single" w:color="auto" w:sz="4" w:space="0"/>
              <w:left w:val="nil"/>
              <w:bottom w:val="single" w:color="auto" w:sz="4" w:space="0"/>
            </w:tcBorders>
            <w:noWrap w:val="0"/>
            <w:vAlign w:val="center"/>
          </w:tcPr>
          <w:p w14:paraId="66BDCA6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bottom w:val="single" w:color="auto" w:sz="4" w:space="0"/>
            </w:tcBorders>
            <w:noWrap w:val="0"/>
            <w:vAlign w:val="center"/>
          </w:tcPr>
          <w:p w14:paraId="5F2F3D5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缓冲行程超标给与截断</w:t>
            </w:r>
          </w:p>
        </w:tc>
      </w:tr>
      <w:tr w14:paraId="2A9E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92" w:type="dxa"/>
            <w:vMerge w:val="continue"/>
            <w:tcBorders>
              <w:left w:val="single" w:color="auto" w:sz="4" w:space="0"/>
              <w:right w:val="single" w:color="auto" w:sz="4" w:space="0"/>
            </w:tcBorders>
            <w:noWrap w:val="0"/>
            <w:vAlign w:val="top"/>
          </w:tcPr>
          <w:p w14:paraId="5CD18AB3">
            <w:pPr>
              <w:ind w:right="-109" w:rightChars="-52"/>
              <w:rPr>
                <w:rFonts w:hint="eastAsia" w:ascii="宋体" w:hAnsi="宋体" w:eastAsia="宋体" w:cs="宋体"/>
                <w:sz w:val="24"/>
                <w:szCs w:val="24"/>
              </w:rPr>
            </w:pPr>
          </w:p>
        </w:tc>
        <w:tc>
          <w:tcPr>
            <w:tcW w:w="2688" w:type="dxa"/>
            <w:tcBorders>
              <w:top w:val="single" w:color="auto" w:sz="4" w:space="0"/>
              <w:left w:val="single" w:color="auto" w:sz="4" w:space="0"/>
              <w:bottom w:val="single" w:color="auto" w:sz="4" w:space="0"/>
            </w:tcBorders>
            <w:noWrap w:val="0"/>
            <w:vAlign w:val="center"/>
          </w:tcPr>
          <w:p w14:paraId="570B9A0F">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轨道清洗</w:t>
            </w:r>
          </w:p>
        </w:tc>
        <w:tc>
          <w:tcPr>
            <w:tcW w:w="2340" w:type="dxa"/>
            <w:tcBorders>
              <w:top w:val="single" w:color="auto" w:sz="4" w:space="0"/>
              <w:bottom w:val="single" w:color="auto" w:sz="4" w:space="0"/>
            </w:tcBorders>
            <w:noWrap w:val="0"/>
            <w:vAlign w:val="center"/>
          </w:tcPr>
          <w:p w14:paraId="043DC32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bottom w:val="single" w:color="auto" w:sz="4" w:space="0"/>
            </w:tcBorders>
            <w:noWrap w:val="0"/>
            <w:vAlign w:val="center"/>
          </w:tcPr>
          <w:p w14:paraId="663077F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煤、柴油</w:t>
            </w:r>
          </w:p>
        </w:tc>
      </w:tr>
      <w:tr w14:paraId="73CF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92" w:type="dxa"/>
            <w:vMerge w:val="continue"/>
            <w:tcBorders>
              <w:left w:val="single" w:color="auto" w:sz="4" w:space="0"/>
              <w:right w:val="single" w:color="auto" w:sz="4" w:space="0"/>
            </w:tcBorders>
            <w:noWrap w:val="0"/>
            <w:vAlign w:val="top"/>
          </w:tcPr>
          <w:p w14:paraId="328790AC">
            <w:pPr>
              <w:ind w:right="-109" w:rightChars="-52"/>
              <w:rPr>
                <w:rFonts w:hint="eastAsia" w:ascii="宋体" w:hAnsi="宋体" w:eastAsia="宋体" w:cs="宋体"/>
                <w:sz w:val="24"/>
                <w:szCs w:val="24"/>
              </w:rPr>
            </w:pPr>
          </w:p>
        </w:tc>
        <w:tc>
          <w:tcPr>
            <w:tcW w:w="2688" w:type="dxa"/>
            <w:tcBorders>
              <w:top w:val="single" w:color="auto" w:sz="4" w:space="0"/>
              <w:left w:val="single" w:color="auto" w:sz="4" w:space="0"/>
            </w:tcBorders>
            <w:noWrap w:val="0"/>
            <w:vAlign w:val="center"/>
          </w:tcPr>
          <w:p w14:paraId="46CB0270">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宋体" w:hAnsi="宋体" w:eastAsia="宋体" w:cs="宋体"/>
                <w:sz w:val="24"/>
              </w:rPr>
            </w:pPr>
            <w:r>
              <w:rPr>
                <w:rFonts w:hint="eastAsia" w:ascii="宋体" w:hAnsi="宋体" w:eastAsia="宋体" w:cs="宋体"/>
                <w:sz w:val="24"/>
              </w:rPr>
              <w:t>轨道末端、地坑部件补漆</w:t>
            </w:r>
          </w:p>
        </w:tc>
        <w:tc>
          <w:tcPr>
            <w:tcW w:w="2340" w:type="dxa"/>
            <w:tcBorders>
              <w:top w:val="single" w:color="auto" w:sz="4" w:space="0"/>
            </w:tcBorders>
            <w:noWrap w:val="0"/>
            <w:vAlign w:val="center"/>
          </w:tcPr>
          <w:p w14:paraId="2A0F0C8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12个月／次</w:t>
            </w:r>
          </w:p>
        </w:tc>
        <w:tc>
          <w:tcPr>
            <w:tcW w:w="2700" w:type="dxa"/>
            <w:tcBorders>
              <w:top w:val="single" w:color="auto" w:sz="4" w:space="0"/>
              <w:left w:val="nil"/>
            </w:tcBorders>
            <w:noWrap w:val="0"/>
            <w:vAlign w:val="center"/>
          </w:tcPr>
          <w:p w14:paraId="29A4227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防锈漆</w:t>
            </w:r>
          </w:p>
        </w:tc>
      </w:tr>
    </w:tbl>
    <w:p w14:paraId="47C813B9">
      <w:pPr>
        <w:ind w:right="-109" w:rightChars="-52"/>
        <w:rPr>
          <w:rFonts w:hint="eastAsia" w:ascii="楷体_GB2312" w:eastAsia="楷体_GB2312"/>
          <w:sz w:val="24"/>
        </w:rPr>
      </w:pPr>
    </w:p>
    <w:p w14:paraId="60BA4A94">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B523A17">
      <w:pPr>
        <w:ind w:right="-109" w:rightChars="-52" w:firstLine="240" w:firstLineChars="100"/>
        <w:rPr>
          <w:rFonts w:hint="eastAsia"/>
        </w:rPr>
      </w:pPr>
      <w:r>
        <w:rPr>
          <w:rFonts w:hint="eastAsia" w:ascii="宋体" w:hAnsi="宋体" w:eastAsia="宋体" w:cs="宋体"/>
          <w:sz w:val="24"/>
          <w:lang w:val="en-US" w:eastAsia="zh-CN"/>
        </w:rPr>
        <w:t>5、</w:t>
      </w:r>
      <w:r>
        <w:rPr>
          <w:rFonts w:hint="eastAsia" w:ascii="宋体" w:hAnsi="宋体" w:eastAsia="宋体" w:cs="宋体"/>
          <w:sz w:val="24"/>
        </w:rPr>
        <w:t>电梯的润滑保养</w:t>
      </w:r>
    </w:p>
    <w:tbl>
      <w:tblPr>
        <w:tblStyle w:val="23"/>
        <w:tblW w:w="883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685"/>
        <w:gridCol w:w="2340"/>
        <w:gridCol w:w="2700"/>
      </w:tblGrid>
      <w:tr w14:paraId="0973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110" w:type="dxa"/>
            <w:tcBorders>
              <w:top w:val="single" w:color="auto" w:sz="4" w:space="0"/>
              <w:left w:val="single" w:color="auto" w:sz="4" w:space="0"/>
              <w:bottom w:val="single" w:color="auto" w:sz="4" w:space="0"/>
              <w:right w:val="nil"/>
            </w:tcBorders>
            <w:noWrap w:val="0"/>
            <w:vAlign w:val="center"/>
          </w:tcPr>
          <w:p w14:paraId="645F6A3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润滑项目</w:t>
            </w:r>
          </w:p>
        </w:tc>
        <w:tc>
          <w:tcPr>
            <w:tcW w:w="2685" w:type="dxa"/>
            <w:tcBorders>
              <w:top w:val="single" w:color="auto" w:sz="4" w:space="0"/>
              <w:left w:val="single" w:color="auto" w:sz="4" w:space="0"/>
              <w:bottom w:val="single" w:color="auto" w:sz="4" w:space="0"/>
              <w:right w:val="nil"/>
            </w:tcBorders>
            <w:noWrap w:val="0"/>
            <w:vAlign w:val="center"/>
          </w:tcPr>
          <w:p w14:paraId="678424F5">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润滑位置</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39D1D6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润滑周期</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110997F">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润滑材料</w:t>
            </w:r>
          </w:p>
        </w:tc>
      </w:tr>
      <w:tr w14:paraId="049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10" w:type="dxa"/>
            <w:vMerge w:val="restart"/>
            <w:tcBorders>
              <w:top w:val="single" w:color="auto" w:sz="4" w:space="0"/>
              <w:left w:val="single" w:color="auto" w:sz="4" w:space="0"/>
              <w:right w:val="nil"/>
            </w:tcBorders>
            <w:noWrap w:val="0"/>
            <w:vAlign w:val="center"/>
          </w:tcPr>
          <w:p w14:paraId="14A7B4F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w:t>
            </w:r>
          </w:p>
          <w:p w14:paraId="23BE12F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机房</w:t>
            </w:r>
          </w:p>
          <w:p w14:paraId="12F5076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p w14:paraId="030A75B4">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0D12F13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齿轮箱</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A8F4D7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新梯6个月,一年后每12个月更换一次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B3A053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80W－100W－G5齿轮油</w:t>
            </w:r>
          </w:p>
        </w:tc>
      </w:tr>
      <w:tr w14:paraId="1C27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10" w:type="dxa"/>
            <w:vMerge w:val="continue"/>
            <w:tcBorders>
              <w:left w:val="single" w:color="auto" w:sz="4" w:space="0"/>
              <w:right w:val="nil"/>
            </w:tcBorders>
            <w:noWrap w:val="0"/>
            <w:vAlign w:val="center"/>
          </w:tcPr>
          <w:p w14:paraId="6E84990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7E1A66C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蜗轮蜗杆的滚动轴承</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86A40C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6个月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2233FB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钙基润滑油脂</w:t>
            </w:r>
          </w:p>
        </w:tc>
      </w:tr>
      <w:tr w14:paraId="6358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110" w:type="dxa"/>
            <w:vMerge w:val="continue"/>
            <w:tcBorders>
              <w:left w:val="single" w:color="auto" w:sz="4" w:space="0"/>
              <w:right w:val="nil"/>
            </w:tcBorders>
            <w:noWrap w:val="0"/>
            <w:vAlign w:val="center"/>
          </w:tcPr>
          <w:p w14:paraId="6327DF8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4F078CA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制动器的轴销</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DE4A94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4DB172F">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tc>
      </w:tr>
      <w:tr w14:paraId="7677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110" w:type="dxa"/>
            <w:vMerge w:val="continue"/>
            <w:tcBorders>
              <w:left w:val="single" w:color="auto" w:sz="4" w:space="0"/>
              <w:right w:val="nil"/>
            </w:tcBorders>
            <w:noWrap w:val="0"/>
            <w:vAlign w:val="center"/>
          </w:tcPr>
          <w:p w14:paraId="0B32CD7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3B71AF8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电磁铁可动铁心与铜套之间</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F4FA8F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12个月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218EB4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石墨粉</w:t>
            </w:r>
          </w:p>
        </w:tc>
      </w:tr>
      <w:tr w14:paraId="50DA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10" w:type="dxa"/>
            <w:vMerge w:val="continue"/>
            <w:tcBorders>
              <w:left w:val="single" w:color="auto" w:sz="4" w:space="0"/>
              <w:right w:val="nil"/>
            </w:tcBorders>
            <w:noWrap w:val="0"/>
            <w:vAlign w:val="center"/>
          </w:tcPr>
          <w:p w14:paraId="580811E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30EA411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电机滚动轴承</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C9FF6C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12个月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1C79A87">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钙基润滑油脂</w:t>
            </w:r>
          </w:p>
        </w:tc>
      </w:tr>
      <w:tr w14:paraId="5942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110" w:type="dxa"/>
            <w:vMerge w:val="continue"/>
            <w:tcBorders>
              <w:left w:val="single" w:color="auto" w:sz="4" w:space="0"/>
              <w:right w:val="nil"/>
            </w:tcBorders>
            <w:noWrap w:val="0"/>
            <w:vAlign w:val="center"/>
          </w:tcPr>
          <w:p w14:paraId="0F661BC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0375DAF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电机滑动轴承</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89A1D4A">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12个月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320047D">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钙基润滑油脂</w:t>
            </w:r>
          </w:p>
        </w:tc>
      </w:tr>
      <w:tr w14:paraId="490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110" w:type="dxa"/>
            <w:vMerge w:val="continue"/>
            <w:tcBorders>
              <w:left w:val="single" w:color="auto" w:sz="4" w:space="0"/>
              <w:right w:val="nil"/>
            </w:tcBorders>
            <w:noWrap w:val="0"/>
            <w:vAlign w:val="center"/>
          </w:tcPr>
          <w:p w14:paraId="6BBDE17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3B5CAE6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导向轮</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7185B4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12个月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E673A96">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钙基润滑油脂</w:t>
            </w:r>
          </w:p>
        </w:tc>
      </w:tr>
      <w:tr w14:paraId="177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10" w:type="dxa"/>
            <w:vMerge w:val="continue"/>
            <w:tcBorders>
              <w:left w:val="single" w:color="auto" w:sz="4" w:space="0"/>
              <w:right w:val="nil"/>
            </w:tcBorders>
            <w:noWrap w:val="0"/>
            <w:vAlign w:val="center"/>
          </w:tcPr>
          <w:p w14:paraId="7ECBCE7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nil"/>
            </w:tcBorders>
            <w:noWrap w:val="0"/>
            <w:vAlign w:val="center"/>
          </w:tcPr>
          <w:p w14:paraId="7A08961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限速器</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46D2E7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6个月</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063A2D0">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普通机油</w:t>
            </w:r>
          </w:p>
        </w:tc>
      </w:tr>
      <w:tr w14:paraId="4032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110" w:type="dxa"/>
            <w:vMerge w:val="restart"/>
            <w:tcBorders>
              <w:left w:val="single" w:color="auto" w:sz="4" w:space="0"/>
              <w:right w:val="nil"/>
            </w:tcBorders>
            <w:noWrap w:val="0"/>
            <w:vAlign w:val="center"/>
          </w:tcPr>
          <w:p w14:paraId="6EA0936F">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（2）</w:t>
            </w:r>
          </w:p>
          <w:p w14:paraId="347B9E1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轿厢</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7CABF365">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导靴油杯</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B481C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油量少于四分之一时需添加</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D19E1DA">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40＃机油</w:t>
            </w:r>
          </w:p>
        </w:tc>
      </w:tr>
      <w:tr w14:paraId="3571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110" w:type="dxa"/>
            <w:vMerge w:val="continue"/>
            <w:tcBorders>
              <w:left w:val="single" w:color="auto" w:sz="4" w:space="0"/>
              <w:right w:val="nil"/>
            </w:tcBorders>
            <w:noWrap w:val="0"/>
            <w:vAlign w:val="center"/>
          </w:tcPr>
          <w:p w14:paraId="332196C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right w:val="single" w:color="auto" w:sz="4" w:space="0"/>
            </w:tcBorders>
            <w:noWrap w:val="0"/>
            <w:vAlign w:val="center"/>
          </w:tcPr>
          <w:p w14:paraId="0C5651C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轿顶轮、对重轮、复绕轮</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BFC4F0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6个月</w:t>
            </w:r>
          </w:p>
        </w:tc>
        <w:tc>
          <w:tcPr>
            <w:tcW w:w="2700" w:type="dxa"/>
            <w:tcBorders>
              <w:top w:val="single" w:color="auto" w:sz="4" w:space="0"/>
              <w:left w:val="single" w:color="auto" w:sz="4" w:space="0"/>
              <w:bottom w:val="nil"/>
              <w:right w:val="single" w:color="auto" w:sz="4" w:space="0"/>
            </w:tcBorders>
            <w:noWrap w:val="0"/>
            <w:vAlign w:val="center"/>
          </w:tcPr>
          <w:p w14:paraId="7766CB4F">
            <w:pPr>
              <w:keepNext w:val="0"/>
              <w:keepLines w:val="0"/>
              <w:pageBreakBefore w:val="0"/>
              <w:widowControl w:val="0"/>
              <w:kinsoku/>
              <w:wordWrap/>
              <w:overflowPunct/>
              <w:topLinePunct w:val="0"/>
              <w:autoSpaceDE/>
              <w:autoSpaceDN/>
              <w:bidi w:val="0"/>
              <w:adjustRightInd/>
              <w:snapToGrid/>
              <w:ind w:right="0" w:rightChars="0" w:firstLine="432" w:firstLineChars="180"/>
              <w:jc w:val="center"/>
              <w:textAlignment w:val="auto"/>
              <w:rPr>
                <w:rFonts w:hint="eastAsia" w:ascii="宋体" w:hAnsi="宋体" w:eastAsia="宋体" w:cs="宋体"/>
                <w:sz w:val="24"/>
              </w:rPr>
            </w:pPr>
            <w:r>
              <w:rPr>
                <w:rFonts w:hint="eastAsia" w:ascii="宋体" w:hAnsi="宋体" w:eastAsia="宋体" w:cs="宋体"/>
                <w:sz w:val="24"/>
              </w:rPr>
              <w:t>钙基润滑油脂</w:t>
            </w:r>
          </w:p>
        </w:tc>
      </w:tr>
      <w:tr w14:paraId="21CD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10" w:type="dxa"/>
            <w:vMerge w:val="continue"/>
            <w:tcBorders>
              <w:left w:val="single" w:color="auto" w:sz="4" w:space="0"/>
              <w:right w:val="single" w:color="auto" w:sz="4" w:space="0"/>
            </w:tcBorders>
            <w:noWrap w:val="0"/>
            <w:vAlign w:val="center"/>
          </w:tcPr>
          <w:p w14:paraId="55181EA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31B9DEF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门机构轴承</w:t>
            </w:r>
          </w:p>
        </w:tc>
        <w:tc>
          <w:tcPr>
            <w:tcW w:w="2340" w:type="dxa"/>
            <w:tcBorders>
              <w:top w:val="single" w:color="auto" w:sz="4" w:space="0"/>
              <w:left w:val="nil"/>
              <w:bottom w:val="single" w:color="auto" w:sz="4" w:space="0"/>
            </w:tcBorders>
            <w:noWrap w:val="0"/>
            <w:vAlign w:val="center"/>
          </w:tcPr>
          <w:p w14:paraId="7333639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3个月</w:t>
            </w:r>
          </w:p>
        </w:tc>
        <w:tc>
          <w:tcPr>
            <w:tcW w:w="2700" w:type="dxa"/>
            <w:tcBorders>
              <w:top w:val="single" w:color="auto" w:sz="4" w:space="0"/>
              <w:left w:val="nil"/>
              <w:bottom w:val="single" w:color="auto" w:sz="4" w:space="0"/>
            </w:tcBorders>
            <w:noWrap w:val="0"/>
            <w:vAlign w:val="center"/>
          </w:tcPr>
          <w:p w14:paraId="198ACAB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tc>
      </w:tr>
      <w:tr w14:paraId="328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10" w:type="dxa"/>
            <w:vMerge w:val="continue"/>
            <w:tcBorders>
              <w:left w:val="single" w:color="auto" w:sz="4" w:space="0"/>
              <w:right w:val="single" w:color="auto" w:sz="4" w:space="0"/>
            </w:tcBorders>
            <w:noWrap w:val="0"/>
            <w:vAlign w:val="center"/>
          </w:tcPr>
          <w:p w14:paraId="13EAF5FB">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544B4AC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安全触板</w:t>
            </w:r>
          </w:p>
        </w:tc>
        <w:tc>
          <w:tcPr>
            <w:tcW w:w="2340" w:type="dxa"/>
            <w:tcBorders>
              <w:top w:val="single" w:color="auto" w:sz="4" w:space="0"/>
              <w:left w:val="nil"/>
              <w:bottom w:val="single" w:color="auto" w:sz="4" w:space="0"/>
            </w:tcBorders>
            <w:noWrap w:val="0"/>
            <w:vAlign w:val="center"/>
          </w:tcPr>
          <w:p w14:paraId="5196BA1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3个月</w:t>
            </w:r>
          </w:p>
        </w:tc>
        <w:tc>
          <w:tcPr>
            <w:tcW w:w="2700" w:type="dxa"/>
            <w:tcBorders>
              <w:top w:val="single" w:color="auto" w:sz="4" w:space="0"/>
              <w:left w:val="nil"/>
              <w:bottom w:val="single" w:color="auto" w:sz="4" w:space="0"/>
            </w:tcBorders>
            <w:noWrap w:val="0"/>
            <w:vAlign w:val="center"/>
          </w:tcPr>
          <w:p w14:paraId="27A79F3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tc>
      </w:tr>
      <w:tr w14:paraId="24A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10" w:type="dxa"/>
            <w:vMerge w:val="continue"/>
            <w:tcBorders>
              <w:left w:val="single" w:color="auto" w:sz="4" w:space="0"/>
              <w:bottom w:val="single" w:color="auto" w:sz="4" w:space="0"/>
              <w:right w:val="single" w:color="auto" w:sz="4" w:space="0"/>
            </w:tcBorders>
            <w:noWrap w:val="0"/>
            <w:vAlign w:val="center"/>
          </w:tcPr>
          <w:p w14:paraId="37F9084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6C80CFE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安全钳</w:t>
            </w:r>
          </w:p>
        </w:tc>
        <w:tc>
          <w:tcPr>
            <w:tcW w:w="2340" w:type="dxa"/>
            <w:tcBorders>
              <w:top w:val="single" w:color="auto" w:sz="4" w:space="0"/>
              <w:left w:val="nil"/>
              <w:bottom w:val="single" w:color="auto" w:sz="4" w:space="0"/>
            </w:tcBorders>
            <w:noWrap w:val="0"/>
            <w:vAlign w:val="center"/>
          </w:tcPr>
          <w:p w14:paraId="63DE469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6个月</w:t>
            </w:r>
          </w:p>
        </w:tc>
        <w:tc>
          <w:tcPr>
            <w:tcW w:w="2700" w:type="dxa"/>
            <w:tcBorders>
              <w:top w:val="single" w:color="auto" w:sz="4" w:space="0"/>
              <w:left w:val="nil"/>
              <w:bottom w:val="single" w:color="auto" w:sz="4" w:space="0"/>
            </w:tcBorders>
            <w:noWrap w:val="0"/>
            <w:vAlign w:val="center"/>
          </w:tcPr>
          <w:p w14:paraId="4C8D5C0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p w14:paraId="45D7DC7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r>
      <w:tr w14:paraId="51DF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10" w:type="dxa"/>
            <w:vMerge w:val="restart"/>
            <w:tcBorders>
              <w:left w:val="single" w:color="auto" w:sz="4" w:space="0"/>
              <w:right w:val="single" w:color="auto" w:sz="4" w:space="0"/>
            </w:tcBorders>
            <w:noWrap w:val="0"/>
            <w:vAlign w:val="center"/>
          </w:tcPr>
          <w:p w14:paraId="3CE3610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w:t>
            </w:r>
          </w:p>
          <w:p w14:paraId="5BA0DEE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井道</w:t>
            </w:r>
          </w:p>
        </w:tc>
        <w:tc>
          <w:tcPr>
            <w:tcW w:w="2685" w:type="dxa"/>
            <w:tcBorders>
              <w:top w:val="single" w:color="auto" w:sz="4" w:space="0"/>
              <w:left w:val="single" w:color="auto" w:sz="4" w:space="0"/>
              <w:bottom w:val="single" w:color="auto" w:sz="4" w:space="0"/>
            </w:tcBorders>
            <w:noWrap w:val="0"/>
            <w:vAlign w:val="center"/>
          </w:tcPr>
          <w:p w14:paraId="514CD26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门机构</w:t>
            </w:r>
          </w:p>
        </w:tc>
        <w:tc>
          <w:tcPr>
            <w:tcW w:w="2340" w:type="dxa"/>
            <w:tcBorders>
              <w:top w:val="single" w:color="auto" w:sz="4" w:space="0"/>
              <w:left w:val="nil"/>
              <w:bottom w:val="single" w:color="auto" w:sz="4" w:space="0"/>
            </w:tcBorders>
            <w:noWrap w:val="0"/>
            <w:vAlign w:val="center"/>
          </w:tcPr>
          <w:p w14:paraId="64033D4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3个月</w:t>
            </w:r>
          </w:p>
        </w:tc>
        <w:tc>
          <w:tcPr>
            <w:tcW w:w="2700" w:type="dxa"/>
            <w:tcBorders>
              <w:top w:val="single" w:color="auto" w:sz="4" w:space="0"/>
              <w:left w:val="nil"/>
              <w:bottom w:val="single" w:color="auto" w:sz="4" w:space="0"/>
            </w:tcBorders>
            <w:noWrap w:val="0"/>
            <w:vAlign w:val="center"/>
          </w:tcPr>
          <w:p w14:paraId="10A3140B">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p w14:paraId="3A552EB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r>
      <w:tr w14:paraId="4804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10" w:type="dxa"/>
            <w:vMerge w:val="continue"/>
            <w:tcBorders>
              <w:left w:val="single" w:color="auto" w:sz="4" w:space="0"/>
              <w:right w:val="single" w:color="auto" w:sz="4" w:space="0"/>
            </w:tcBorders>
            <w:noWrap w:val="0"/>
            <w:vAlign w:val="center"/>
          </w:tcPr>
          <w:p w14:paraId="7EB55A8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4F43E9BC">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涨紧轮</w:t>
            </w:r>
          </w:p>
        </w:tc>
        <w:tc>
          <w:tcPr>
            <w:tcW w:w="2340" w:type="dxa"/>
            <w:tcBorders>
              <w:top w:val="single" w:color="auto" w:sz="4" w:space="0"/>
              <w:left w:val="nil"/>
              <w:bottom w:val="single" w:color="auto" w:sz="4" w:space="0"/>
            </w:tcBorders>
            <w:noWrap w:val="0"/>
            <w:vAlign w:val="center"/>
          </w:tcPr>
          <w:p w14:paraId="4ED9F3D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3个月</w:t>
            </w:r>
          </w:p>
        </w:tc>
        <w:tc>
          <w:tcPr>
            <w:tcW w:w="2700" w:type="dxa"/>
            <w:tcBorders>
              <w:top w:val="single" w:color="auto" w:sz="4" w:space="0"/>
              <w:left w:val="nil"/>
              <w:bottom w:val="single" w:color="auto" w:sz="4" w:space="0"/>
            </w:tcBorders>
            <w:noWrap w:val="0"/>
            <w:vAlign w:val="center"/>
          </w:tcPr>
          <w:p w14:paraId="5C24BC0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tc>
      </w:tr>
      <w:tr w14:paraId="31C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110" w:type="dxa"/>
            <w:vMerge w:val="continue"/>
            <w:tcBorders>
              <w:left w:val="single" w:color="auto" w:sz="4" w:space="0"/>
              <w:right w:val="single" w:color="auto" w:sz="4" w:space="0"/>
            </w:tcBorders>
            <w:noWrap w:val="0"/>
            <w:vAlign w:val="center"/>
          </w:tcPr>
          <w:p w14:paraId="095DE64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01A21CF7">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缓冲器</w:t>
            </w:r>
          </w:p>
        </w:tc>
        <w:tc>
          <w:tcPr>
            <w:tcW w:w="2340" w:type="dxa"/>
            <w:tcBorders>
              <w:top w:val="single" w:color="auto" w:sz="4" w:space="0"/>
              <w:left w:val="nil"/>
              <w:bottom w:val="single" w:color="auto" w:sz="4" w:space="0"/>
            </w:tcBorders>
            <w:noWrap w:val="0"/>
            <w:vAlign w:val="center"/>
          </w:tcPr>
          <w:p w14:paraId="21D07C96">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6个月添加一次，12个月更换一次</w:t>
            </w:r>
          </w:p>
        </w:tc>
        <w:tc>
          <w:tcPr>
            <w:tcW w:w="2700" w:type="dxa"/>
            <w:tcBorders>
              <w:top w:val="single" w:color="auto" w:sz="4" w:space="0"/>
              <w:left w:val="nil"/>
              <w:bottom w:val="single" w:color="auto" w:sz="4" w:space="0"/>
            </w:tcBorders>
            <w:noWrap w:val="0"/>
            <w:vAlign w:val="center"/>
          </w:tcPr>
          <w:p w14:paraId="75E9591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液压油</w:t>
            </w:r>
          </w:p>
        </w:tc>
      </w:tr>
      <w:tr w14:paraId="449D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10" w:type="dxa"/>
            <w:vMerge w:val="continue"/>
            <w:tcBorders>
              <w:left w:val="single" w:color="auto" w:sz="4" w:space="0"/>
              <w:bottom w:val="single" w:color="auto" w:sz="4" w:space="0"/>
              <w:right w:val="single" w:color="auto" w:sz="4" w:space="0"/>
            </w:tcBorders>
            <w:noWrap w:val="0"/>
            <w:vAlign w:val="center"/>
          </w:tcPr>
          <w:p w14:paraId="0A4BB8D9">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p>
        </w:tc>
        <w:tc>
          <w:tcPr>
            <w:tcW w:w="2685" w:type="dxa"/>
            <w:tcBorders>
              <w:top w:val="single" w:color="auto" w:sz="4" w:space="0"/>
              <w:left w:val="single" w:color="auto" w:sz="4" w:space="0"/>
              <w:bottom w:val="single" w:color="auto" w:sz="4" w:space="0"/>
            </w:tcBorders>
            <w:noWrap w:val="0"/>
            <w:vAlign w:val="center"/>
          </w:tcPr>
          <w:p w14:paraId="6DF67F1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井道信息件开关</w:t>
            </w:r>
          </w:p>
        </w:tc>
        <w:tc>
          <w:tcPr>
            <w:tcW w:w="2340" w:type="dxa"/>
            <w:tcBorders>
              <w:top w:val="single" w:color="auto" w:sz="4" w:space="0"/>
              <w:left w:val="nil"/>
              <w:bottom w:val="single" w:color="auto" w:sz="4" w:space="0"/>
            </w:tcBorders>
            <w:noWrap w:val="0"/>
            <w:vAlign w:val="center"/>
          </w:tcPr>
          <w:p w14:paraId="469C05F0">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3个月</w:t>
            </w:r>
          </w:p>
        </w:tc>
        <w:tc>
          <w:tcPr>
            <w:tcW w:w="2700" w:type="dxa"/>
            <w:tcBorders>
              <w:top w:val="single" w:color="auto" w:sz="4" w:space="0"/>
              <w:left w:val="nil"/>
              <w:bottom w:val="single" w:color="auto" w:sz="4" w:space="0"/>
            </w:tcBorders>
            <w:noWrap w:val="0"/>
            <w:vAlign w:val="center"/>
          </w:tcPr>
          <w:p w14:paraId="6E9FB571">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eastAsia="宋体" w:cs="宋体"/>
                <w:sz w:val="24"/>
              </w:rPr>
            </w:pPr>
            <w:r>
              <w:rPr>
                <w:rFonts w:hint="eastAsia" w:ascii="宋体" w:hAnsi="宋体" w:eastAsia="宋体" w:cs="宋体"/>
                <w:sz w:val="24"/>
              </w:rPr>
              <w:t>普通机油</w:t>
            </w:r>
          </w:p>
        </w:tc>
      </w:tr>
    </w:tbl>
    <w:p w14:paraId="6920DDFA">
      <w:pPr>
        <w:spacing w:line="500" w:lineRule="exact"/>
        <w:ind w:right="-109" w:rightChars="-52"/>
        <w:rPr>
          <w:rFonts w:hint="eastAsia" w:ascii="楷体_GB2312" w:eastAsia="楷体_GB2312"/>
          <w:sz w:val="24"/>
        </w:rPr>
      </w:pPr>
    </w:p>
    <w:p w14:paraId="30C9FB09">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515D287B">
      <w:pPr>
        <w:keepNext w:val="0"/>
        <w:keepLines w:val="0"/>
        <w:pageBreakBefore w:val="0"/>
        <w:widowControl w:val="0"/>
        <w:kinsoku/>
        <w:wordWrap/>
        <w:overflowPunct/>
        <w:topLinePunct w:val="0"/>
        <w:autoSpaceDE/>
        <w:autoSpaceDN/>
        <w:bidi w:val="0"/>
        <w:adjustRightInd/>
        <w:snapToGrid/>
        <w:spacing w:line="500" w:lineRule="exact"/>
        <w:ind w:left="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电梯维保安全操作规程</w:t>
      </w:r>
    </w:p>
    <w:p w14:paraId="64510D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维修人员进入检修现场，必须穿工作服和绝缘鞋。</w:t>
      </w:r>
    </w:p>
    <w:p w14:paraId="07C156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轿厢内或入口的明显处应挂上“检修停用”标牌。</w:t>
      </w:r>
    </w:p>
    <w:p w14:paraId="53BDED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让无关人员离开轿厢或其他检修工作场所，关好层门。不能关闭层门时，需用合适的护栏挡住入口处，以防止无关人员进入电梯。</w:t>
      </w:r>
    </w:p>
    <w:p w14:paraId="0A79C6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上轿顶作检修工作时，首先应先将轿顶开关置于检修状态，并关好层门。停梯工作时必须按下急停开关。</w:t>
      </w:r>
    </w:p>
    <w:p w14:paraId="6F1EE0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给传动部位加油、清洗，或观察钢丝绳的磨损情况时，必须停止电梯运行。</w:t>
      </w:r>
    </w:p>
    <w:p w14:paraId="2BB894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人在轿顶上工作时，站立位置应有选择，脚下不得有油污，否则应清理干净。</w:t>
      </w:r>
    </w:p>
    <w:p w14:paraId="0CE991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人在轿顶上准备开动电梯以观察有关电梯部件的工作情况时，手必须握住轿顶上梁或护栏等机件。并注意身体部位始终置于轿厢外框之内，防止与井道构件碰撞。须由轿内的司机或检修人员开电梯时，要注意配合，服从轿顶人员指挥，未有指令不准开动电梯。</w:t>
      </w:r>
    </w:p>
    <w:p w14:paraId="23A077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在多台电梯共用一个井道时，除注意本电梯的情况外，还应注意其他电梯的动态，以防止被碰撞。</w:t>
      </w:r>
    </w:p>
    <w:p w14:paraId="0449E5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禁止在轿顶和井道内吸烟。</w:t>
      </w:r>
    </w:p>
    <w:p w14:paraId="1FC555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检修电器部件时应尽可能避免带电作业。必须带电操作时，应预防触电，并有两人协同进行。</w:t>
      </w:r>
    </w:p>
    <w:p w14:paraId="51D972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移动式照明应为安全电压，应使用带有防护罩的照明设备。</w:t>
      </w:r>
    </w:p>
    <w:p w14:paraId="376143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12.</w:t>
      </w:r>
      <w:r>
        <w:rPr>
          <w:rFonts w:hint="eastAsia" w:ascii="宋体" w:hAnsi="宋体" w:eastAsia="宋体" w:cs="宋体"/>
          <w:sz w:val="24"/>
        </w:rPr>
        <w:t>严禁维修人员站在井道外探身到井道内，以及两脚分别站在能相对运动部件上，进行长时间的检修工作。</w:t>
      </w:r>
    </w:p>
    <w:p w14:paraId="44549F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13.</w:t>
      </w:r>
      <w:r>
        <w:rPr>
          <w:rFonts w:hint="eastAsia" w:ascii="宋体" w:hAnsi="宋体" w:eastAsia="宋体" w:cs="宋体"/>
          <w:sz w:val="24"/>
        </w:rPr>
        <w:t>进入底坑，应将底坑急停开关断开。</w:t>
      </w:r>
    </w:p>
    <w:p w14:paraId="3DB761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5EDC01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6CD21F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78CD29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38DFE3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79830C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eastAsia" w:ascii="宋体" w:hAnsi="宋体" w:eastAsia="宋体" w:cs="宋体"/>
          <w:sz w:val="24"/>
        </w:rPr>
      </w:pPr>
    </w:p>
    <w:p w14:paraId="4A4810AD">
      <w:pPr>
        <w:pStyle w:val="6"/>
        <w:spacing w:before="111"/>
        <w:ind w:right="298" w:firstLine="1680" w:firstLineChars="700"/>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lang w:eastAsia="zh-CN"/>
        </w:rPr>
        <w:t>电梯维保质量考核评分表（每月考核一次）</w:t>
      </w:r>
    </w:p>
    <w:tbl>
      <w:tblPr>
        <w:tblStyle w:val="23"/>
        <w:tblpPr w:leftFromText="180" w:rightFromText="180" w:vertAnchor="text" w:horzAnchor="page" w:tblpX="1112" w:tblpY="412"/>
        <w:tblOverlap w:val="never"/>
        <w:tblW w:w="9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
        <w:gridCol w:w="4920"/>
        <w:gridCol w:w="2784"/>
        <w:gridCol w:w="444"/>
        <w:gridCol w:w="396"/>
        <w:gridCol w:w="636"/>
      </w:tblGrid>
      <w:tr w14:paraId="53C1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72" w:type="dxa"/>
            <w:noWrap w:val="0"/>
            <w:vAlign w:val="top"/>
          </w:tcPr>
          <w:p w14:paraId="15CE0ADE">
            <w:pPr>
              <w:pStyle w:val="33"/>
              <w:spacing w:before="108"/>
              <w:ind w:left="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w:t>
            </w:r>
          </w:p>
          <w:p w14:paraId="2911B595">
            <w:pPr>
              <w:pStyle w:val="33"/>
              <w:spacing w:before="132" w:line="229" w:lineRule="exact"/>
              <w:ind w:left="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号</w:t>
            </w:r>
          </w:p>
        </w:tc>
        <w:tc>
          <w:tcPr>
            <w:tcW w:w="4920" w:type="dxa"/>
            <w:noWrap w:val="0"/>
            <w:vAlign w:val="top"/>
          </w:tcPr>
          <w:p w14:paraId="71CF8E32">
            <w:pPr>
              <w:pStyle w:val="33"/>
              <w:spacing w:before="13"/>
              <w:rPr>
                <w:rFonts w:hint="eastAsia" w:asciiTheme="minorEastAsia" w:hAnsiTheme="minorEastAsia" w:eastAsiaTheme="minorEastAsia" w:cstheme="minorEastAsia"/>
                <w:b/>
                <w:sz w:val="22"/>
                <w:szCs w:val="22"/>
              </w:rPr>
            </w:pPr>
          </w:p>
          <w:p w14:paraId="74FFAEA9">
            <w:pPr>
              <w:pStyle w:val="33"/>
              <w:ind w:left="2057" w:right="2227"/>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标准内容</w:t>
            </w:r>
          </w:p>
        </w:tc>
        <w:tc>
          <w:tcPr>
            <w:tcW w:w="2784" w:type="dxa"/>
            <w:noWrap w:val="0"/>
            <w:vAlign w:val="top"/>
          </w:tcPr>
          <w:p w14:paraId="4BE950F6">
            <w:pPr>
              <w:pStyle w:val="33"/>
              <w:spacing w:before="13"/>
              <w:rPr>
                <w:rFonts w:hint="eastAsia" w:asciiTheme="minorEastAsia" w:hAnsiTheme="minorEastAsia" w:eastAsiaTheme="minorEastAsia" w:cstheme="minorEastAsia"/>
                <w:b/>
                <w:sz w:val="22"/>
                <w:szCs w:val="22"/>
              </w:rPr>
            </w:pPr>
          </w:p>
          <w:p w14:paraId="32B51EDC">
            <w:pPr>
              <w:pStyle w:val="33"/>
              <w:ind w:left="1147" w:right="129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评分方法</w:t>
            </w:r>
          </w:p>
        </w:tc>
        <w:tc>
          <w:tcPr>
            <w:tcW w:w="444" w:type="dxa"/>
            <w:noWrap w:val="0"/>
            <w:vAlign w:val="top"/>
          </w:tcPr>
          <w:p w14:paraId="1B61B5B4">
            <w:pPr>
              <w:pStyle w:val="33"/>
              <w:spacing w:before="108"/>
              <w:ind w:left="1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标准</w:t>
            </w:r>
          </w:p>
          <w:p w14:paraId="32763732">
            <w:pPr>
              <w:pStyle w:val="33"/>
              <w:spacing w:before="132" w:line="229" w:lineRule="exact"/>
              <w:ind w:left="1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分值</w:t>
            </w:r>
          </w:p>
        </w:tc>
        <w:tc>
          <w:tcPr>
            <w:tcW w:w="396" w:type="dxa"/>
            <w:noWrap w:val="0"/>
            <w:vAlign w:val="top"/>
          </w:tcPr>
          <w:p w14:paraId="553F85F9">
            <w:pPr>
              <w:pStyle w:val="33"/>
              <w:spacing w:before="108"/>
              <w:ind w:left="1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得</w:t>
            </w:r>
          </w:p>
          <w:p w14:paraId="377F1B52">
            <w:pPr>
              <w:pStyle w:val="33"/>
              <w:spacing w:before="132" w:line="229" w:lineRule="exact"/>
              <w:ind w:left="1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w:t>
            </w:r>
          </w:p>
        </w:tc>
        <w:tc>
          <w:tcPr>
            <w:tcW w:w="636" w:type="dxa"/>
            <w:noWrap w:val="0"/>
            <w:vAlign w:val="top"/>
          </w:tcPr>
          <w:p w14:paraId="0329838E">
            <w:pPr>
              <w:pStyle w:val="33"/>
              <w:spacing w:before="13"/>
              <w:rPr>
                <w:rFonts w:hint="eastAsia" w:asciiTheme="minorEastAsia" w:hAnsiTheme="minorEastAsia" w:eastAsiaTheme="minorEastAsia" w:cstheme="minorEastAsia"/>
                <w:b/>
                <w:sz w:val="22"/>
                <w:szCs w:val="22"/>
              </w:rPr>
            </w:pPr>
          </w:p>
          <w:p w14:paraId="7739F2E9">
            <w:pPr>
              <w:pStyle w:val="33"/>
              <w:ind w:left="15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扣分原因</w:t>
            </w:r>
          </w:p>
        </w:tc>
      </w:tr>
      <w:tr w14:paraId="1254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72" w:type="dxa"/>
            <w:noWrap w:val="0"/>
            <w:vAlign w:val="top"/>
          </w:tcPr>
          <w:p w14:paraId="0C9A3452">
            <w:pPr>
              <w:pStyle w:val="33"/>
              <w:spacing w:before="6"/>
              <w:rPr>
                <w:rFonts w:hint="eastAsia" w:asciiTheme="minorEastAsia" w:hAnsiTheme="minorEastAsia" w:eastAsiaTheme="minorEastAsia" w:cstheme="minorEastAsia"/>
                <w:b/>
                <w:sz w:val="22"/>
                <w:szCs w:val="22"/>
              </w:rPr>
            </w:pPr>
          </w:p>
          <w:p w14:paraId="3CDF1EF3">
            <w:pPr>
              <w:pStyle w:val="33"/>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4920" w:type="dxa"/>
            <w:noWrap w:val="0"/>
            <w:vAlign w:val="top"/>
          </w:tcPr>
          <w:p w14:paraId="39A18CC9">
            <w:pPr>
              <w:pStyle w:val="33"/>
              <w:spacing w:before="1" w:line="298" w:lineRule="exact"/>
              <w:ind w:left="112" w:right="15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驱动及转动位置清洁无杂物、无积水、无异响,标识清楚；无灰尘、无油污、无脱漆生锈。</w:t>
            </w:r>
          </w:p>
        </w:tc>
        <w:tc>
          <w:tcPr>
            <w:tcW w:w="2784" w:type="dxa"/>
            <w:noWrap w:val="0"/>
            <w:vAlign w:val="top"/>
          </w:tcPr>
          <w:p w14:paraId="30E493FF">
            <w:pPr>
              <w:pStyle w:val="33"/>
              <w:spacing w:before="2"/>
              <w:rPr>
                <w:rFonts w:hint="eastAsia" w:asciiTheme="minorEastAsia" w:hAnsiTheme="minorEastAsia" w:eastAsiaTheme="minorEastAsia" w:cstheme="minorEastAsia"/>
                <w:b/>
                <w:sz w:val="22"/>
                <w:szCs w:val="22"/>
              </w:rPr>
            </w:pPr>
          </w:p>
          <w:p w14:paraId="65C999FB">
            <w:pPr>
              <w:pStyle w:val="33"/>
              <w:spacing w:before="1"/>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外观检查，一项不符合的扣 1 分</w:t>
            </w:r>
          </w:p>
        </w:tc>
        <w:tc>
          <w:tcPr>
            <w:tcW w:w="444" w:type="dxa"/>
            <w:noWrap w:val="0"/>
            <w:vAlign w:val="top"/>
          </w:tcPr>
          <w:p w14:paraId="1826194B">
            <w:pPr>
              <w:pStyle w:val="33"/>
              <w:spacing w:before="6"/>
              <w:rPr>
                <w:rFonts w:hint="eastAsia" w:asciiTheme="minorEastAsia" w:hAnsiTheme="minorEastAsia" w:eastAsiaTheme="minorEastAsia" w:cstheme="minorEastAsia"/>
                <w:b/>
                <w:sz w:val="22"/>
                <w:szCs w:val="22"/>
              </w:rPr>
            </w:pPr>
          </w:p>
          <w:p w14:paraId="086C2060">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分</w:t>
            </w:r>
          </w:p>
        </w:tc>
        <w:tc>
          <w:tcPr>
            <w:tcW w:w="396" w:type="dxa"/>
            <w:noWrap w:val="0"/>
            <w:vAlign w:val="top"/>
          </w:tcPr>
          <w:p w14:paraId="6769CBE1">
            <w:pPr>
              <w:pStyle w:val="33"/>
              <w:rPr>
                <w:rFonts w:hint="eastAsia" w:asciiTheme="minorEastAsia" w:hAnsiTheme="minorEastAsia" w:eastAsiaTheme="minorEastAsia" w:cstheme="minorEastAsia"/>
                <w:sz w:val="22"/>
                <w:szCs w:val="22"/>
              </w:rPr>
            </w:pPr>
          </w:p>
        </w:tc>
        <w:tc>
          <w:tcPr>
            <w:tcW w:w="636" w:type="dxa"/>
            <w:noWrap w:val="0"/>
            <w:vAlign w:val="top"/>
          </w:tcPr>
          <w:p w14:paraId="798660AA">
            <w:pPr>
              <w:pStyle w:val="33"/>
              <w:rPr>
                <w:rFonts w:hint="eastAsia" w:asciiTheme="minorEastAsia" w:hAnsiTheme="minorEastAsia" w:eastAsiaTheme="minorEastAsia" w:cstheme="minorEastAsia"/>
                <w:sz w:val="22"/>
                <w:szCs w:val="22"/>
              </w:rPr>
            </w:pPr>
          </w:p>
        </w:tc>
      </w:tr>
      <w:tr w14:paraId="6A81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72" w:type="dxa"/>
            <w:noWrap w:val="0"/>
            <w:vAlign w:val="top"/>
          </w:tcPr>
          <w:p w14:paraId="310B3346">
            <w:pPr>
              <w:pStyle w:val="33"/>
              <w:rPr>
                <w:rFonts w:hint="eastAsia" w:asciiTheme="minorEastAsia" w:hAnsiTheme="minorEastAsia" w:eastAsiaTheme="minorEastAsia" w:cstheme="minorEastAsia"/>
                <w:b/>
                <w:sz w:val="22"/>
                <w:szCs w:val="22"/>
              </w:rPr>
            </w:pPr>
          </w:p>
          <w:p w14:paraId="7867FCA6">
            <w:pPr>
              <w:pStyle w:val="33"/>
              <w:spacing w:before="149"/>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4920" w:type="dxa"/>
            <w:noWrap w:val="0"/>
            <w:vAlign w:val="top"/>
          </w:tcPr>
          <w:p w14:paraId="4D503D21">
            <w:pPr>
              <w:pStyle w:val="33"/>
              <w:spacing w:before="2" w:line="247" w:lineRule="auto"/>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 xml:space="preserve">主机运行无异常噪音、无异味、无灰尘、无油污、无脱漆生锈， </w:t>
            </w:r>
            <w:r>
              <w:rPr>
                <w:rFonts w:hint="eastAsia" w:asciiTheme="minorEastAsia" w:hAnsiTheme="minorEastAsia" w:eastAsiaTheme="minorEastAsia" w:cstheme="minorEastAsia"/>
                <w:spacing w:val="-3"/>
                <w:sz w:val="22"/>
                <w:szCs w:val="22"/>
              </w:rPr>
              <w:t>油位在标准之内；制动时闸瓦均匀紧密贴合制动轮工作面，松闸时两侧闸瓦动作同步，各项尺寸符合规范要求，检</w:t>
            </w:r>
            <w:r>
              <w:rPr>
                <w:rFonts w:hint="eastAsia" w:asciiTheme="minorEastAsia" w:hAnsiTheme="minorEastAsia" w:eastAsiaTheme="minorEastAsia" w:cstheme="minorEastAsia"/>
                <w:sz w:val="22"/>
                <w:szCs w:val="22"/>
              </w:rPr>
              <w:t>测开关正常。</w:t>
            </w:r>
          </w:p>
        </w:tc>
        <w:tc>
          <w:tcPr>
            <w:tcW w:w="2784" w:type="dxa"/>
            <w:noWrap w:val="0"/>
            <w:vAlign w:val="top"/>
          </w:tcPr>
          <w:p w14:paraId="21C39B68">
            <w:pPr>
              <w:pStyle w:val="33"/>
              <w:spacing w:before="2"/>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2 分</w:t>
            </w:r>
          </w:p>
        </w:tc>
        <w:tc>
          <w:tcPr>
            <w:tcW w:w="444" w:type="dxa"/>
            <w:noWrap w:val="0"/>
            <w:vAlign w:val="top"/>
          </w:tcPr>
          <w:p w14:paraId="12564140">
            <w:pPr>
              <w:pStyle w:val="33"/>
              <w:rPr>
                <w:rFonts w:hint="eastAsia" w:asciiTheme="minorEastAsia" w:hAnsiTheme="minorEastAsia" w:eastAsiaTheme="minorEastAsia" w:cstheme="minorEastAsia"/>
                <w:b/>
                <w:sz w:val="22"/>
                <w:szCs w:val="22"/>
              </w:rPr>
            </w:pPr>
          </w:p>
          <w:p w14:paraId="04FC3E1C">
            <w:pPr>
              <w:pStyle w:val="33"/>
              <w:spacing w:before="149"/>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分</w:t>
            </w:r>
          </w:p>
        </w:tc>
        <w:tc>
          <w:tcPr>
            <w:tcW w:w="396" w:type="dxa"/>
            <w:noWrap w:val="0"/>
            <w:vAlign w:val="top"/>
          </w:tcPr>
          <w:p w14:paraId="1580F104">
            <w:pPr>
              <w:pStyle w:val="33"/>
              <w:rPr>
                <w:rFonts w:hint="eastAsia" w:asciiTheme="minorEastAsia" w:hAnsiTheme="minorEastAsia" w:eastAsiaTheme="minorEastAsia" w:cstheme="minorEastAsia"/>
                <w:sz w:val="22"/>
                <w:szCs w:val="22"/>
              </w:rPr>
            </w:pPr>
          </w:p>
        </w:tc>
        <w:tc>
          <w:tcPr>
            <w:tcW w:w="636" w:type="dxa"/>
            <w:noWrap w:val="0"/>
            <w:vAlign w:val="top"/>
          </w:tcPr>
          <w:p w14:paraId="511A8DB1">
            <w:pPr>
              <w:pStyle w:val="33"/>
              <w:rPr>
                <w:rFonts w:hint="eastAsia" w:asciiTheme="minorEastAsia" w:hAnsiTheme="minorEastAsia" w:eastAsiaTheme="minorEastAsia" w:cstheme="minorEastAsia"/>
                <w:sz w:val="22"/>
                <w:szCs w:val="22"/>
              </w:rPr>
            </w:pPr>
          </w:p>
        </w:tc>
      </w:tr>
      <w:tr w14:paraId="2D96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372" w:type="dxa"/>
            <w:noWrap w:val="0"/>
            <w:vAlign w:val="top"/>
          </w:tcPr>
          <w:p w14:paraId="33E76607">
            <w:pPr>
              <w:pStyle w:val="33"/>
              <w:spacing w:before="10"/>
              <w:rPr>
                <w:rFonts w:hint="eastAsia" w:asciiTheme="minorEastAsia" w:hAnsiTheme="minorEastAsia" w:eastAsiaTheme="minorEastAsia" w:cstheme="minorEastAsia"/>
                <w:b/>
                <w:sz w:val="22"/>
                <w:szCs w:val="22"/>
              </w:rPr>
            </w:pPr>
          </w:p>
          <w:p w14:paraId="5FF07769">
            <w:pPr>
              <w:pStyle w:val="33"/>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4920" w:type="dxa"/>
            <w:noWrap w:val="0"/>
            <w:vAlign w:val="top"/>
          </w:tcPr>
          <w:p w14:paraId="429E7E58">
            <w:pPr>
              <w:pStyle w:val="33"/>
              <w:spacing w:before="107"/>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控制柜电器部件清洁，无灰尘、接线规整牢固、线号齐全，电子板信号功能正常</w:t>
            </w:r>
          </w:p>
        </w:tc>
        <w:tc>
          <w:tcPr>
            <w:tcW w:w="2784" w:type="dxa"/>
            <w:noWrap w:val="0"/>
            <w:vAlign w:val="top"/>
          </w:tcPr>
          <w:p w14:paraId="0C77C895">
            <w:pPr>
              <w:pStyle w:val="33"/>
              <w:spacing w:before="4"/>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1 分</w:t>
            </w:r>
          </w:p>
        </w:tc>
        <w:tc>
          <w:tcPr>
            <w:tcW w:w="444" w:type="dxa"/>
            <w:noWrap w:val="0"/>
            <w:vAlign w:val="top"/>
          </w:tcPr>
          <w:p w14:paraId="34430C76">
            <w:pPr>
              <w:pStyle w:val="33"/>
              <w:spacing w:before="10"/>
              <w:rPr>
                <w:rFonts w:hint="eastAsia" w:asciiTheme="minorEastAsia" w:hAnsiTheme="minorEastAsia" w:eastAsiaTheme="minorEastAsia" w:cstheme="minorEastAsia"/>
                <w:b/>
                <w:sz w:val="22"/>
                <w:szCs w:val="22"/>
              </w:rPr>
            </w:pPr>
          </w:p>
          <w:p w14:paraId="71555EA9">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分</w:t>
            </w:r>
          </w:p>
        </w:tc>
        <w:tc>
          <w:tcPr>
            <w:tcW w:w="396" w:type="dxa"/>
            <w:noWrap w:val="0"/>
            <w:vAlign w:val="top"/>
          </w:tcPr>
          <w:p w14:paraId="6F3600C0">
            <w:pPr>
              <w:pStyle w:val="33"/>
              <w:rPr>
                <w:rFonts w:hint="eastAsia" w:asciiTheme="minorEastAsia" w:hAnsiTheme="minorEastAsia" w:eastAsiaTheme="minorEastAsia" w:cstheme="minorEastAsia"/>
                <w:sz w:val="22"/>
                <w:szCs w:val="22"/>
              </w:rPr>
            </w:pPr>
          </w:p>
        </w:tc>
        <w:tc>
          <w:tcPr>
            <w:tcW w:w="636" w:type="dxa"/>
            <w:noWrap w:val="0"/>
            <w:vAlign w:val="top"/>
          </w:tcPr>
          <w:p w14:paraId="2FBA0E55">
            <w:pPr>
              <w:pStyle w:val="33"/>
              <w:rPr>
                <w:rFonts w:hint="eastAsia" w:asciiTheme="minorEastAsia" w:hAnsiTheme="minorEastAsia" w:eastAsiaTheme="minorEastAsia" w:cstheme="minorEastAsia"/>
                <w:sz w:val="22"/>
                <w:szCs w:val="22"/>
              </w:rPr>
            </w:pPr>
          </w:p>
        </w:tc>
      </w:tr>
      <w:tr w14:paraId="6CC5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372" w:type="dxa"/>
            <w:noWrap w:val="0"/>
            <w:vAlign w:val="top"/>
          </w:tcPr>
          <w:p w14:paraId="3A5D77EB">
            <w:pPr>
              <w:pStyle w:val="33"/>
              <w:spacing w:before="12"/>
              <w:rPr>
                <w:rFonts w:hint="eastAsia" w:asciiTheme="minorEastAsia" w:hAnsiTheme="minorEastAsia" w:eastAsiaTheme="minorEastAsia" w:cstheme="minorEastAsia"/>
                <w:b/>
                <w:sz w:val="22"/>
                <w:szCs w:val="22"/>
              </w:rPr>
            </w:pPr>
          </w:p>
          <w:p w14:paraId="4D61F7D2">
            <w:pPr>
              <w:pStyle w:val="33"/>
              <w:spacing w:before="1"/>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4920" w:type="dxa"/>
            <w:noWrap w:val="0"/>
            <w:vAlign w:val="top"/>
          </w:tcPr>
          <w:p w14:paraId="2E7D367D">
            <w:pPr>
              <w:pStyle w:val="33"/>
              <w:spacing w:before="107"/>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制动装置及超速保护装置清洁，无灰尘、无油污、动作正常可靠。</w:t>
            </w:r>
          </w:p>
        </w:tc>
        <w:tc>
          <w:tcPr>
            <w:tcW w:w="2784" w:type="dxa"/>
            <w:noWrap w:val="0"/>
            <w:vAlign w:val="top"/>
          </w:tcPr>
          <w:p w14:paraId="066778C5">
            <w:pPr>
              <w:pStyle w:val="33"/>
              <w:spacing w:before="107"/>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2 分</w:t>
            </w:r>
          </w:p>
        </w:tc>
        <w:tc>
          <w:tcPr>
            <w:tcW w:w="444" w:type="dxa"/>
            <w:noWrap w:val="0"/>
            <w:vAlign w:val="top"/>
          </w:tcPr>
          <w:p w14:paraId="761212B3">
            <w:pPr>
              <w:pStyle w:val="33"/>
              <w:spacing w:before="12"/>
              <w:rPr>
                <w:rFonts w:hint="eastAsia" w:asciiTheme="minorEastAsia" w:hAnsiTheme="minorEastAsia" w:eastAsiaTheme="minorEastAsia" w:cstheme="minorEastAsia"/>
                <w:b/>
                <w:sz w:val="22"/>
                <w:szCs w:val="22"/>
              </w:rPr>
            </w:pPr>
          </w:p>
          <w:p w14:paraId="7058B82B">
            <w:pPr>
              <w:pStyle w:val="33"/>
              <w:spacing w:before="1"/>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分</w:t>
            </w:r>
          </w:p>
        </w:tc>
        <w:tc>
          <w:tcPr>
            <w:tcW w:w="396" w:type="dxa"/>
            <w:noWrap w:val="0"/>
            <w:vAlign w:val="top"/>
          </w:tcPr>
          <w:p w14:paraId="0C322636">
            <w:pPr>
              <w:pStyle w:val="33"/>
              <w:rPr>
                <w:rFonts w:hint="eastAsia" w:asciiTheme="minorEastAsia" w:hAnsiTheme="minorEastAsia" w:eastAsiaTheme="minorEastAsia" w:cstheme="minorEastAsia"/>
                <w:sz w:val="22"/>
                <w:szCs w:val="22"/>
              </w:rPr>
            </w:pPr>
          </w:p>
        </w:tc>
        <w:tc>
          <w:tcPr>
            <w:tcW w:w="636" w:type="dxa"/>
            <w:noWrap w:val="0"/>
            <w:vAlign w:val="top"/>
          </w:tcPr>
          <w:p w14:paraId="0CAC6BA1">
            <w:pPr>
              <w:pStyle w:val="33"/>
              <w:rPr>
                <w:rFonts w:hint="eastAsia" w:asciiTheme="minorEastAsia" w:hAnsiTheme="minorEastAsia" w:eastAsiaTheme="minorEastAsia" w:cstheme="minorEastAsia"/>
                <w:sz w:val="22"/>
                <w:szCs w:val="22"/>
              </w:rPr>
            </w:pPr>
          </w:p>
        </w:tc>
      </w:tr>
      <w:tr w14:paraId="7C16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372" w:type="dxa"/>
            <w:noWrap w:val="0"/>
            <w:vAlign w:val="top"/>
          </w:tcPr>
          <w:p w14:paraId="14A36402">
            <w:pPr>
              <w:pStyle w:val="33"/>
              <w:spacing w:before="13"/>
              <w:rPr>
                <w:rFonts w:hint="eastAsia" w:asciiTheme="minorEastAsia" w:hAnsiTheme="minorEastAsia" w:eastAsiaTheme="minorEastAsia" w:cstheme="minorEastAsia"/>
                <w:b/>
                <w:sz w:val="22"/>
                <w:szCs w:val="22"/>
              </w:rPr>
            </w:pPr>
          </w:p>
          <w:p w14:paraId="76772C71">
            <w:pPr>
              <w:pStyle w:val="33"/>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4920" w:type="dxa"/>
            <w:noWrap w:val="0"/>
            <w:vAlign w:val="top"/>
          </w:tcPr>
          <w:p w14:paraId="45E970D7">
            <w:pPr>
              <w:pStyle w:val="33"/>
              <w:spacing w:before="108"/>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钥匙开关及各安全开关功能正常，安全防护及警示标志、各类操作说明标志完好齐全合理。</w:t>
            </w:r>
          </w:p>
        </w:tc>
        <w:tc>
          <w:tcPr>
            <w:tcW w:w="2784" w:type="dxa"/>
            <w:noWrap w:val="0"/>
            <w:vAlign w:val="top"/>
          </w:tcPr>
          <w:p w14:paraId="796A4CB1">
            <w:pPr>
              <w:pStyle w:val="33"/>
              <w:spacing w:before="110"/>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1 分</w:t>
            </w:r>
          </w:p>
        </w:tc>
        <w:tc>
          <w:tcPr>
            <w:tcW w:w="444" w:type="dxa"/>
            <w:noWrap w:val="0"/>
            <w:vAlign w:val="top"/>
          </w:tcPr>
          <w:p w14:paraId="7AE8B436">
            <w:pPr>
              <w:pStyle w:val="33"/>
              <w:spacing w:before="13"/>
              <w:rPr>
                <w:rFonts w:hint="eastAsia" w:asciiTheme="minorEastAsia" w:hAnsiTheme="minorEastAsia" w:eastAsiaTheme="minorEastAsia" w:cstheme="minorEastAsia"/>
                <w:b/>
                <w:sz w:val="22"/>
                <w:szCs w:val="22"/>
              </w:rPr>
            </w:pPr>
          </w:p>
          <w:p w14:paraId="416C1BBE">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59C454E9">
            <w:pPr>
              <w:pStyle w:val="33"/>
              <w:rPr>
                <w:rFonts w:hint="eastAsia" w:asciiTheme="minorEastAsia" w:hAnsiTheme="minorEastAsia" w:eastAsiaTheme="minorEastAsia" w:cstheme="minorEastAsia"/>
                <w:sz w:val="22"/>
                <w:szCs w:val="22"/>
              </w:rPr>
            </w:pPr>
          </w:p>
        </w:tc>
        <w:tc>
          <w:tcPr>
            <w:tcW w:w="636" w:type="dxa"/>
            <w:noWrap w:val="0"/>
            <w:vAlign w:val="top"/>
          </w:tcPr>
          <w:p w14:paraId="29D48BE1">
            <w:pPr>
              <w:pStyle w:val="33"/>
              <w:rPr>
                <w:rFonts w:hint="eastAsia" w:asciiTheme="minorEastAsia" w:hAnsiTheme="minorEastAsia" w:eastAsiaTheme="minorEastAsia" w:cstheme="minorEastAsia"/>
                <w:sz w:val="22"/>
                <w:szCs w:val="22"/>
              </w:rPr>
            </w:pPr>
          </w:p>
        </w:tc>
      </w:tr>
      <w:tr w14:paraId="7F692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72" w:type="dxa"/>
            <w:noWrap w:val="0"/>
            <w:vAlign w:val="top"/>
          </w:tcPr>
          <w:p w14:paraId="503F2C86">
            <w:pPr>
              <w:pStyle w:val="33"/>
              <w:spacing w:before="10"/>
              <w:rPr>
                <w:rFonts w:hint="eastAsia" w:asciiTheme="minorEastAsia" w:hAnsiTheme="minorEastAsia" w:eastAsiaTheme="minorEastAsia" w:cstheme="minorEastAsia"/>
                <w:b/>
                <w:sz w:val="22"/>
                <w:szCs w:val="22"/>
              </w:rPr>
            </w:pPr>
          </w:p>
          <w:p w14:paraId="59318DC3">
            <w:pPr>
              <w:pStyle w:val="33"/>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4920" w:type="dxa"/>
            <w:noWrap w:val="0"/>
            <w:vAlign w:val="top"/>
          </w:tcPr>
          <w:p w14:paraId="6C2D5E99">
            <w:pPr>
              <w:pStyle w:val="33"/>
              <w:spacing w:before="108"/>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导轨、导靴、靴衬无损伤，润滑要良好，设备运行无异响，油杯/油壶油量应适当，无漏油、无渗油、无破损。</w:t>
            </w:r>
          </w:p>
        </w:tc>
        <w:tc>
          <w:tcPr>
            <w:tcW w:w="2784" w:type="dxa"/>
            <w:noWrap w:val="0"/>
            <w:vAlign w:val="top"/>
          </w:tcPr>
          <w:p w14:paraId="3E761B58">
            <w:pPr>
              <w:pStyle w:val="33"/>
              <w:spacing w:before="108"/>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2 分</w:t>
            </w:r>
          </w:p>
        </w:tc>
        <w:tc>
          <w:tcPr>
            <w:tcW w:w="444" w:type="dxa"/>
            <w:noWrap w:val="0"/>
            <w:vAlign w:val="top"/>
          </w:tcPr>
          <w:p w14:paraId="5E939113">
            <w:pPr>
              <w:pStyle w:val="33"/>
              <w:spacing w:before="10"/>
              <w:rPr>
                <w:rFonts w:hint="eastAsia" w:asciiTheme="minorEastAsia" w:hAnsiTheme="minorEastAsia" w:eastAsiaTheme="minorEastAsia" w:cstheme="minorEastAsia"/>
                <w:b/>
                <w:sz w:val="22"/>
                <w:szCs w:val="22"/>
              </w:rPr>
            </w:pPr>
          </w:p>
          <w:p w14:paraId="77D83064">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66F558D3">
            <w:pPr>
              <w:pStyle w:val="33"/>
              <w:rPr>
                <w:rFonts w:hint="eastAsia" w:asciiTheme="minorEastAsia" w:hAnsiTheme="minorEastAsia" w:eastAsiaTheme="minorEastAsia" w:cstheme="minorEastAsia"/>
                <w:sz w:val="22"/>
                <w:szCs w:val="22"/>
              </w:rPr>
            </w:pPr>
          </w:p>
        </w:tc>
        <w:tc>
          <w:tcPr>
            <w:tcW w:w="636" w:type="dxa"/>
            <w:noWrap w:val="0"/>
            <w:vAlign w:val="top"/>
          </w:tcPr>
          <w:p w14:paraId="0A744149">
            <w:pPr>
              <w:pStyle w:val="33"/>
              <w:rPr>
                <w:rFonts w:hint="eastAsia" w:asciiTheme="minorEastAsia" w:hAnsiTheme="minorEastAsia" w:eastAsiaTheme="minorEastAsia" w:cstheme="minorEastAsia"/>
                <w:sz w:val="22"/>
                <w:szCs w:val="22"/>
              </w:rPr>
            </w:pPr>
          </w:p>
        </w:tc>
      </w:tr>
      <w:tr w14:paraId="649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2" w:type="dxa"/>
            <w:noWrap w:val="0"/>
            <w:vAlign w:val="top"/>
          </w:tcPr>
          <w:p w14:paraId="1E11CD0C">
            <w:pPr>
              <w:pStyle w:val="33"/>
              <w:spacing w:before="110" w:line="229" w:lineRule="exact"/>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4920" w:type="dxa"/>
            <w:noWrap w:val="0"/>
            <w:vAlign w:val="top"/>
          </w:tcPr>
          <w:p w14:paraId="1311DCC6">
            <w:pPr>
              <w:pStyle w:val="33"/>
              <w:spacing w:before="110" w:line="229" w:lineRule="exact"/>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显示系统功能有效、正确，感应系统动作灵敏。</w:t>
            </w:r>
          </w:p>
        </w:tc>
        <w:tc>
          <w:tcPr>
            <w:tcW w:w="2784" w:type="dxa"/>
            <w:noWrap w:val="0"/>
            <w:vAlign w:val="top"/>
          </w:tcPr>
          <w:p w14:paraId="598AD173">
            <w:pPr>
              <w:pStyle w:val="33"/>
              <w:spacing w:before="110" w:line="229" w:lineRule="exact"/>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目测检查，一项不符合要求的扣 1 分</w:t>
            </w:r>
          </w:p>
        </w:tc>
        <w:tc>
          <w:tcPr>
            <w:tcW w:w="444" w:type="dxa"/>
            <w:noWrap w:val="0"/>
            <w:vAlign w:val="top"/>
          </w:tcPr>
          <w:p w14:paraId="3C2EDE90">
            <w:pPr>
              <w:pStyle w:val="33"/>
              <w:spacing w:before="110" w:line="229" w:lineRule="exact"/>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54E63764">
            <w:pPr>
              <w:pStyle w:val="33"/>
              <w:rPr>
                <w:rFonts w:hint="eastAsia" w:asciiTheme="minorEastAsia" w:hAnsiTheme="minorEastAsia" w:eastAsiaTheme="minorEastAsia" w:cstheme="minorEastAsia"/>
                <w:sz w:val="22"/>
                <w:szCs w:val="22"/>
              </w:rPr>
            </w:pPr>
          </w:p>
        </w:tc>
        <w:tc>
          <w:tcPr>
            <w:tcW w:w="636" w:type="dxa"/>
            <w:noWrap w:val="0"/>
            <w:vAlign w:val="top"/>
          </w:tcPr>
          <w:p w14:paraId="2F56AFBD">
            <w:pPr>
              <w:pStyle w:val="33"/>
              <w:rPr>
                <w:rFonts w:hint="eastAsia" w:asciiTheme="minorEastAsia" w:hAnsiTheme="minorEastAsia" w:eastAsiaTheme="minorEastAsia" w:cstheme="minorEastAsia"/>
                <w:sz w:val="22"/>
                <w:szCs w:val="22"/>
              </w:rPr>
            </w:pPr>
          </w:p>
        </w:tc>
      </w:tr>
      <w:tr w14:paraId="6B1E2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372" w:type="dxa"/>
            <w:noWrap w:val="0"/>
            <w:vAlign w:val="top"/>
          </w:tcPr>
          <w:p w14:paraId="47AAB8D7">
            <w:pPr>
              <w:pStyle w:val="33"/>
              <w:spacing w:before="12"/>
              <w:rPr>
                <w:rFonts w:hint="eastAsia" w:asciiTheme="minorEastAsia" w:hAnsiTheme="minorEastAsia" w:eastAsiaTheme="minorEastAsia" w:cstheme="minorEastAsia"/>
                <w:b/>
                <w:sz w:val="22"/>
                <w:szCs w:val="22"/>
              </w:rPr>
            </w:pPr>
          </w:p>
          <w:p w14:paraId="06C97327">
            <w:pPr>
              <w:pStyle w:val="33"/>
              <w:spacing w:before="1"/>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4920" w:type="dxa"/>
            <w:noWrap w:val="0"/>
            <w:vAlign w:val="top"/>
          </w:tcPr>
          <w:p w14:paraId="57A7BB6F">
            <w:pPr>
              <w:pStyle w:val="33"/>
              <w:spacing w:before="107"/>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除锈工作到位，如有漏水情况，及时通知管理人员处理，井道及底坑设备无灰尘、无杂物、无锈蚀，线路规则。</w:t>
            </w:r>
          </w:p>
        </w:tc>
        <w:tc>
          <w:tcPr>
            <w:tcW w:w="2784" w:type="dxa"/>
            <w:noWrap w:val="0"/>
            <w:vAlign w:val="top"/>
          </w:tcPr>
          <w:p w14:paraId="279E83C5">
            <w:pPr>
              <w:pStyle w:val="33"/>
              <w:spacing w:before="107"/>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目测检查试验，一项不符合要求的扣 2分</w:t>
            </w:r>
          </w:p>
        </w:tc>
        <w:tc>
          <w:tcPr>
            <w:tcW w:w="444" w:type="dxa"/>
            <w:noWrap w:val="0"/>
            <w:vAlign w:val="top"/>
          </w:tcPr>
          <w:p w14:paraId="0F4BF0A1">
            <w:pPr>
              <w:pStyle w:val="33"/>
              <w:spacing w:before="12"/>
              <w:rPr>
                <w:rFonts w:hint="eastAsia" w:asciiTheme="minorEastAsia" w:hAnsiTheme="minorEastAsia" w:eastAsiaTheme="minorEastAsia" w:cstheme="minorEastAsia"/>
                <w:b/>
                <w:sz w:val="22"/>
                <w:szCs w:val="22"/>
              </w:rPr>
            </w:pPr>
          </w:p>
          <w:p w14:paraId="24AED036">
            <w:pPr>
              <w:pStyle w:val="33"/>
              <w:spacing w:before="1"/>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分</w:t>
            </w:r>
          </w:p>
        </w:tc>
        <w:tc>
          <w:tcPr>
            <w:tcW w:w="396" w:type="dxa"/>
            <w:noWrap w:val="0"/>
            <w:vAlign w:val="top"/>
          </w:tcPr>
          <w:p w14:paraId="38D727CB">
            <w:pPr>
              <w:pStyle w:val="33"/>
              <w:rPr>
                <w:rFonts w:hint="eastAsia" w:asciiTheme="minorEastAsia" w:hAnsiTheme="minorEastAsia" w:eastAsiaTheme="minorEastAsia" w:cstheme="minorEastAsia"/>
                <w:sz w:val="22"/>
                <w:szCs w:val="22"/>
              </w:rPr>
            </w:pPr>
          </w:p>
        </w:tc>
        <w:tc>
          <w:tcPr>
            <w:tcW w:w="636" w:type="dxa"/>
            <w:noWrap w:val="0"/>
            <w:vAlign w:val="top"/>
          </w:tcPr>
          <w:p w14:paraId="520B85C6">
            <w:pPr>
              <w:pStyle w:val="33"/>
              <w:rPr>
                <w:rFonts w:hint="eastAsia" w:asciiTheme="minorEastAsia" w:hAnsiTheme="minorEastAsia" w:eastAsiaTheme="minorEastAsia" w:cstheme="minorEastAsia"/>
                <w:sz w:val="22"/>
                <w:szCs w:val="22"/>
              </w:rPr>
            </w:pPr>
          </w:p>
        </w:tc>
      </w:tr>
      <w:tr w14:paraId="3AF01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72" w:type="dxa"/>
            <w:noWrap w:val="0"/>
            <w:vAlign w:val="top"/>
          </w:tcPr>
          <w:p w14:paraId="5CBAFACD">
            <w:pPr>
              <w:pStyle w:val="33"/>
              <w:spacing w:before="10"/>
              <w:rPr>
                <w:rFonts w:hint="eastAsia" w:asciiTheme="minorEastAsia" w:hAnsiTheme="minorEastAsia" w:eastAsiaTheme="minorEastAsia" w:cstheme="minorEastAsia"/>
                <w:b/>
                <w:sz w:val="22"/>
                <w:szCs w:val="22"/>
              </w:rPr>
            </w:pPr>
          </w:p>
          <w:p w14:paraId="0AA5358D">
            <w:pPr>
              <w:pStyle w:val="33"/>
              <w:ind w:left="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4920" w:type="dxa"/>
            <w:noWrap w:val="0"/>
            <w:vAlign w:val="top"/>
          </w:tcPr>
          <w:p w14:paraId="2A8FC28E">
            <w:pPr>
              <w:pStyle w:val="33"/>
              <w:spacing w:before="10"/>
              <w:rPr>
                <w:rFonts w:hint="eastAsia" w:asciiTheme="minorEastAsia" w:hAnsiTheme="minorEastAsia" w:eastAsiaTheme="minorEastAsia" w:cstheme="minorEastAsia"/>
                <w:b/>
                <w:sz w:val="22"/>
                <w:szCs w:val="22"/>
              </w:rPr>
            </w:pPr>
          </w:p>
          <w:p w14:paraId="62A40E2D">
            <w:pPr>
              <w:pStyle w:val="3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对讲通话清晰无杂音、安全触板、光幕动作应有效。</w:t>
            </w:r>
          </w:p>
        </w:tc>
        <w:tc>
          <w:tcPr>
            <w:tcW w:w="2784" w:type="dxa"/>
            <w:noWrap w:val="0"/>
            <w:vAlign w:val="top"/>
          </w:tcPr>
          <w:p w14:paraId="40AC1CC3">
            <w:pPr>
              <w:pStyle w:val="33"/>
              <w:spacing w:before="108"/>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目测检查试验，一项不符合要求的一项扣 2 分</w:t>
            </w:r>
          </w:p>
        </w:tc>
        <w:tc>
          <w:tcPr>
            <w:tcW w:w="444" w:type="dxa"/>
            <w:noWrap w:val="0"/>
            <w:vAlign w:val="top"/>
          </w:tcPr>
          <w:p w14:paraId="10F169ED">
            <w:pPr>
              <w:pStyle w:val="33"/>
              <w:spacing w:before="10"/>
              <w:rPr>
                <w:rFonts w:hint="eastAsia" w:asciiTheme="minorEastAsia" w:hAnsiTheme="minorEastAsia" w:eastAsiaTheme="minorEastAsia" w:cstheme="minorEastAsia"/>
                <w:b/>
                <w:sz w:val="22"/>
                <w:szCs w:val="22"/>
              </w:rPr>
            </w:pPr>
          </w:p>
          <w:p w14:paraId="4423A04F">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4F661596">
            <w:pPr>
              <w:pStyle w:val="33"/>
              <w:rPr>
                <w:rFonts w:hint="eastAsia" w:asciiTheme="minorEastAsia" w:hAnsiTheme="minorEastAsia" w:eastAsiaTheme="minorEastAsia" w:cstheme="minorEastAsia"/>
                <w:sz w:val="22"/>
                <w:szCs w:val="22"/>
              </w:rPr>
            </w:pPr>
          </w:p>
        </w:tc>
        <w:tc>
          <w:tcPr>
            <w:tcW w:w="636" w:type="dxa"/>
            <w:noWrap w:val="0"/>
            <w:vAlign w:val="top"/>
          </w:tcPr>
          <w:p w14:paraId="221B2A25">
            <w:pPr>
              <w:pStyle w:val="33"/>
              <w:rPr>
                <w:rFonts w:hint="eastAsia" w:asciiTheme="minorEastAsia" w:hAnsiTheme="minorEastAsia" w:eastAsiaTheme="minorEastAsia" w:cstheme="minorEastAsia"/>
                <w:sz w:val="22"/>
                <w:szCs w:val="22"/>
              </w:rPr>
            </w:pPr>
          </w:p>
        </w:tc>
      </w:tr>
      <w:tr w14:paraId="1B63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372" w:type="dxa"/>
            <w:noWrap w:val="0"/>
            <w:vAlign w:val="top"/>
          </w:tcPr>
          <w:p w14:paraId="3418ECEE">
            <w:pPr>
              <w:pStyle w:val="33"/>
              <w:rPr>
                <w:rFonts w:hint="eastAsia" w:asciiTheme="minorEastAsia" w:hAnsiTheme="minorEastAsia" w:eastAsiaTheme="minorEastAsia" w:cstheme="minorEastAsia"/>
                <w:b/>
                <w:sz w:val="22"/>
                <w:szCs w:val="22"/>
              </w:rPr>
            </w:pPr>
          </w:p>
          <w:p w14:paraId="02139CAD">
            <w:pPr>
              <w:pStyle w:val="33"/>
              <w:spacing w:before="11"/>
              <w:rPr>
                <w:rFonts w:hint="eastAsia" w:asciiTheme="minorEastAsia" w:hAnsiTheme="minorEastAsia" w:eastAsiaTheme="minorEastAsia" w:cstheme="minorEastAsia"/>
                <w:b/>
                <w:sz w:val="22"/>
                <w:szCs w:val="22"/>
              </w:rPr>
            </w:pPr>
          </w:p>
          <w:p w14:paraId="32724DD3">
            <w:pPr>
              <w:pStyle w:val="33"/>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4920" w:type="dxa"/>
            <w:noWrap w:val="0"/>
            <w:vAlign w:val="top"/>
          </w:tcPr>
          <w:p w14:paraId="11FB420D">
            <w:pPr>
              <w:pStyle w:val="33"/>
              <w:spacing w:before="108"/>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工作时间内突发故障 10 分钟到达现场，非工作时间内突发故障 15 分钟到达现场，修复时间 4 小时，大修故障不超过 4天。</w:t>
            </w:r>
          </w:p>
        </w:tc>
        <w:tc>
          <w:tcPr>
            <w:tcW w:w="2784" w:type="dxa"/>
            <w:noWrap w:val="0"/>
            <w:vAlign w:val="top"/>
          </w:tcPr>
          <w:p w14:paraId="7FA88D40">
            <w:pPr>
              <w:pStyle w:val="33"/>
              <w:spacing w:before="108"/>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查记录，每超出一次时限扣 4 分</w:t>
            </w:r>
          </w:p>
        </w:tc>
        <w:tc>
          <w:tcPr>
            <w:tcW w:w="444" w:type="dxa"/>
            <w:noWrap w:val="0"/>
            <w:vAlign w:val="top"/>
          </w:tcPr>
          <w:p w14:paraId="789B454F">
            <w:pPr>
              <w:pStyle w:val="33"/>
              <w:rPr>
                <w:rFonts w:hint="eastAsia" w:asciiTheme="minorEastAsia" w:hAnsiTheme="minorEastAsia" w:eastAsiaTheme="minorEastAsia" w:cstheme="minorEastAsia"/>
                <w:b/>
                <w:sz w:val="22"/>
                <w:szCs w:val="22"/>
              </w:rPr>
            </w:pPr>
          </w:p>
          <w:p w14:paraId="02DBCE2D">
            <w:pPr>
              <w:pStyle w:val="33"/>
              <w:spacing w:before="11"/>
              <w:rPr>
                <w:rFonts w:hint="eastAsia" w:asciiTheme="minorEastAsia" w:hAnsiTheme="minorEastAsia" w:eastAsiaTheme="minorEastAsia" w:cstheme="minorEastAsia"/>
                <w:b/>
                <w:sz w:val="22"/>
                <w:szCs w:val="22"/>
              </w:rPr>
            </w:pPr>
          </w:p>
          <w:p w14:paraId="4FFAFD2F">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0CA44A3A">
            <w:pPr>
              <w:pStyle w:val="33"/>
              <w:rPr>
                <w:rFonts w:hint="eastAsia" w:asciiTheme="minorEastAsia" w:hAnsiTheme="minorEastAsia" w:eastAsiaTheme="minorEastAsia" w:cstheme="minorEastAsia"/>
                <w:sz w:val="22"/>
                <w:szCs w:val="22"/>
              </w:rPr>
            </w:pPr>
          </w:p>
        </w:tc>
        <w:tc>
          <w:tcPr>
            <w:tcW w:w="636" w:type="dxa"/>
            <w:noWrap w:val="0"/>
            <w:vAlign w:val="top"/>
          </w:tcPr>
          <w:p w14:paraId="75858278">
            <w:pPr>
              <w:pStyle w:val="33"/>
              <w:rPr>
                <w:rFonts w:hint="eastAsia" w:asciiTheme="minorEastAsia" w:hAnsiTheme="minorEastAsia" w:eastAsiaTheme="minorEastAsia" w:cstheme="minorEastAsia"/>
                <w:sz w:val="22"/>
                <w:szCs w:val="22"/>
              </w:rPr>
            </w:pPr>
          </w:p>
        </w:tc>
      </w:tr>
      <w:tr w14:paraId="3983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2" w:type="dxa"/>
            <w:noWrap w:val="0"/>
            <w:vAlign w:val="top"/>
          </w:tcPr>
          <w:p w14:paraId="13B1D197">
            <w:pPr>
              <w:pStyle w:val="33"/>
              <w:spacing w:before="110" w:line="229" w:lineRule="exact"/>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4920" w:type="dxa"/>
            <w:noWrap w:val="0"/>
            <w:vAlign w:val="top"/>
          </w:tcPr>
          <w:p w14:paraId="6F5B2CCC">
            <w:pPr>
              <w:pStyle w:val="33"/>
              <w:spacing w:before="110" w:line="229" w:lineRule="exact"/>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保养工作与设备维修按要求详细记录</w:t>
            </w:r>
          </w:p>
        </w:tc>
        <w:tc>
          <w:tcPr>
            <w:tcW w:w="2784" w:type="dxa"/>
            <w:noWrap w:val="0"/>
            <w:vAlign w:val="top"/>
          </w:tcPr>
          <w:p w14:paraId="514088E9">
            <w:pPr>
              <w:pStyle w:val="33"/>
              <w:spacing w:before="110" w:line="229" w:lineRule="exact"/>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查记录，缺一项的扣 2 分</w:t>
            </w:r>
          </w:p>
        </w:tc>
        <w:tc>
          <w:tcPr>
            <w:tcW w:w="444" w:type="dxa"/>
            <w:noWrap w:val="0"/>
            <w:vAlign w:val="top"/>
          </w:tcPr>
          <w:p w14:paraId="3EA76538">
            <w:pPr>
              <w:pStyle w:val="33"/>
              <w:spacing w:before="110" w:line="229" w:lineRule="exact"/>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分</w:t>
            </w:r>
          </w:p>
        </w:tc>
        <w:tc>
          <w:tcPr>
            <w:tcW w:w="396" w:type="dxa"/>
            <w:noWrap w:val="0"/>
            <w:vAlign w:val="top"/>
          </w:tcPr>
          <w:p w14:paraId="365ECC03">
            <w:pPr>
              <w:pStyle w:val="33"/>
              <w:rPr>
                <w:rFonts w:hint="eastAsia" w:asciiTheme="minorEastAsia" w:hAnsiTheme="minorEastAsia" w:eastAsiaTheme="minorEastAsia" w:cstheme="minorEastAsia"/>
                <w:sz w:val="22"/>
                <w:szCs w:val="22"/>
              </w:rPr>
            </w:pPr>
          </w:p>
        </w:tc>
        <w:tc>
          <w:tcPr>
            <w:tcW w:w="636" w:type="dxa"/>
            <w:noWrap w:val="0"/>
            <w:vAlign w:val="top"/>
          </w:tcPr>
          <w:p w14:paraId="4E5574B2">
            <w:pPr>
              <w:pStyle w:val="33"/>
              <w:rPr>
                <w:rFonts w:hint="eastAsia" w:asciiTheme="minorEastAsia" w:hAnsiTheme="minorEastAsia" w:eastAsiaTheme="minorEastAsia" w:cstheme="minorEastAsia"/>
                <w:sz w:val="22"/>
                <w:szCs w:val="22"/>
              </w:rPr>
            </w:pPr>
          </w:p>
        </w:tc>
      </w:tr>
      <w:tr w14:paraId="0B13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72" w:type="dxa"/>
            <w:noWrap w:val="0"/>
            <w:vAlign w:val="top"/>
          </w:tcPr>
          <w:p w14:paraId="20221EF7">
            <w:pPr>
              <w:pStyle w:val="33"/>
              <w:spacing w:before="12"/>
              <w:rPr>
                <w:rFonts w:hint="eastAsia" w:asciiTheme="minorEastAsia" w:hAnsiTheme="minorEastAsia" w:eastAsiaTheme="minorEastAsia" w:cstheme="minorEastAsia"/>
                <w:b/>
                <w:sz w:val="22"/>
                <w:szCs w:val="22"/>
              </w:rPr>
            </w:pPr>
          </w:p>
          <w:p w14:paraId="4620DBB8">
            <w:pPr>
              <w:pStyle w:val="33"/>
              <w:spacing w:before="1"/>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4920" w:type="dxa"/>
            <w:noWrap w:val="0"/>
            <w:vAlign w:val="top"/>
          </w:tcPr>
          <w:p w14:paraId="1769B51D">
            <w:pPr>
              <w:pStyle w:val="33"/>
              <w:spacing w:line="362" w:lineRule="exact"/>
              <w:ind w:left="112" w:right="24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保养计划提交情况、保养工作按计划完成情况、维保人员签到或打卡情况。</w:t>
            </w:r>
          </w:p>
        </w:tc>
        <w:tc>
          <w:tcPr>
            <w:tcW w:w="2784" w:type="dxa"/>
            <w:noWrap w:val="0"/>
            <w:vAlign w:val="top"/>
          </w:tcPr>
          <w:p w14:paraId="436BAACC">
            <w:pPr>
              <w:pStyle w:val="33"/>
              <w:spacing w:before="12"/>
              <w:rPr>
                <w:rFonts w:hint="eastAsia" w:asciiTheme="minorEastAsia" w:hAnsiTheme="minorEastAsia" w:eastAsiaTheme="minorEastAsia" w:cstheme="minorEastAsia"/>
                <w:b/>
                <w:sz w:val="22"/>
                <w:szCs w:val="22"/>
              </w:rPr>
            </w:pPr>
          </w:p>
          <w:p w14:paraId="7AFA3146">
            <w:pPr>
              <w:pStyle w:val="33"/>
              <w:spacing w:before="1"/>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查记录，每缺一次保养扣 2 分</w:t>
            </w:r>
          </w:p>
        </w:tc>
        <w:tc>
          <w:tcPr>
            <w:tcW w:w="444" w:type="dxa"/>
            <w:noWrap w:val="0"/>
            <w:vAlign w:val="top"/>
          </w:tcPr>
          <w:p w14:paraId="0E92CCFE">
            <w:pPr>
              <w:pStyle w:val="33"/>
              <w:spacing w:before="12"/>
              <w:rPr>
                <w:rFonts w:hint="eastAsia" w:asciiTheme="minorEastAsia" w:hAnsiTheme="minorEastAsia" w:eastAsiaTheme="minorEastAsia" w:cstheme="minorEastAsia"/>
                <w:b/>
                <w:sz w:val="22"/>
                <w:szCs w:val="22"/>
              </w:rPr>
            </w:pPr>
          </w:p>
          <w:p w14:paraId="7F34C398">
            <w:pPr>
              <w:pStyle w:val="33"/>
              <w:spacing w:before="1"/>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 分</w:t>
            </w:r>
          </w:p>
        </w:tc>
        <w:tc>
          <w:tcPr>
            <w:tcW w:w="396" w:type="dxa"/>
            <w:noWrap w:val="0"/>
            <w:vAlign w:val="top"/>
          </w:tcPr>
          <w:p w14:paraId="2D4E1C2F">
            <w:pPr>
              <w:pStyle w:val="33"/>
              <w:rPr>
                <w:rFonts w:hint="eastAsia" w:asciiTheme="minorEastAsia" w:hAnsiTheme="minorEastAsia" w:eastAsiaTheme="minorEastAsia" w:cstheme="minorEastAsia"/>
                <w:sz w:val="22"/>
                <w:szCs w:val="22"/>
              </w:rPr>
            </w:pPr>
          </w:p>
        </w:tc>
        <w:tc>
          <w:tcPr>
            <w:tcW w:w="636" w:type="dxa"/>
            <w:noWrap w:val="0"/>
            <w:vAlign w:val="top"/>
          </w:tcPr>
          <w:p w14:paraId="36E09329">
            <w:pPr>
              <w:pStyle w:val="33"/>
              <w:rPr>
                <w:rFonts w:hint="eastAsia" w:asciiTheme="minorEastAsia" w:hAnsiTheme="minorEastAsia" w:eastAsiaTheme="minorEastAsia" w:cstheme="minorEastAsia"/>
                <w:sz w:val="22"/>
                <w:szCs w:val="22"/>
              </w:rPr>
            </w:pPr>
          </w:p>
        </w:tc>
      </w:tr>
      <w:tr w14:paraId="497D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372" w:type="dxa"/>
            <w:noWrap w:val="0"/>
            <w:vAlign w:val="top"/>
          </w:tcPr>
          <w:p w14:paraId="57F772DE">
            <w:pPr>
              <w:pStyle w:val="33"/>
              <w:spacing w:before="8"/>
              <w:rPr>
                <w:rFonts w:hint="eastAsia" w:asciiTheme="minorEastAsia" w:hAnsiTheme="minorEastAsia" w:eastAsiaTheme="minorEastAsia" w:cstheme="minorEastAsia"/>
                <w:b/>
                <w:sz w:val="22"/>
                <w:szCs w:val="22"/>
              </w:rPr>
            </w:pPr>
          </w:p>
          <w:p w14:paraId="402FD272">
            <w:pPr>
              <w:pStyle w:val="33"/>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4920" w:type="dxa"/>
            <w:noWrap w:val="0"/>
            <w:vAlign w:val="top"/>
          </w:tcPr>
          <w:p w14:paraId="21D8C9DB">
            <w:pPr>
              <w:pStyle w:val="33"/>
              <w:spacing w:before="8"/>
              <w:rPr>
                <w:rFonts w:hint="eastAsia" w:asciiTheme="minorEastAsia" w:hAnsiTheme="minorEastAsia" w:eastAsiaTheme="minorEastAsia" w:cstheme="minorEastAsia"/>
                <w:b/>
                <w:sz w:val="22"/>
                <w:szCs w:val="22"/>
              </w:rPr>
            </w:pPr>
          </w:p>
          <w:p w14:paraId="02B291FA">
            <w:pPr>
              <w:pStyle w:val="33"/>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年检申报及时，年检通过率 100﹪</w:t>
            </w:r>
          </w:p>
        </w:tc>
        <w:tc>
          <w:tcPr>
            <w:tcW w:w="2784" w:type="dxa"/>
            <w:noWrap w:val="0"/>
            <w:vAlign w:val="top"/>
          </w:tcPr>
          <w:p w14:paraId="59FB2E52">
            <w:pPr>
              <w:pStyle w:val="33"/>
              <w:spacing w:before="103"/>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不符合的扣 6 分，承担复检费（</w:t>
            </w:r>
            <w:r>
              <w:rPr>
                <w:rFonts w:hint="eastAsia" w:asciiTheme="minorEastAsia" w:hAnsiTheme="minorEastAsia" w:eastAsiaTheme="minorEastAsia" w:cstheme="minorEastAsia"/>
                <w:sz w:val="22"/>
                <w:szCs w:val="22"/>
                <w:lang w:eastAsia="zh-CN"/>
              </w:rPr>
              <w:t>中标单位</w:t>
            </w:r>
            <w:r>
              <w:rPr>
                <w:rFonts w:hint="eastAsia" w:asciiTheme="minorEastAsia" w:hAnsiTheme="minorEastAsia" w:eastAsiaTheme="minorEastAsia" w:cstheme="minorEastAsia"/>
                <w:sz w:val="22"/>
                <w:szCs w:val="22"/>
              </w:rPr>
              <w:t>保养不到位引起）</w:t>
            </w:r>
          </w:p>
        </w:tc>
        <w:tc>
          <w:tcPr>
            <w:tcW w:w="444" w:type="dxa"/>
            <w:noWrap w:val="0"/>
            <w:vAlign w:val="top"/>
          </w:tcPr>
          <w:p w14:paraId="2C8BB429">
            <w:pPr>
              <w:pStyle w:val="33"/>
              <w:spacing w:before="8"/>
              <w:rPr>
                <w:rFonts w:hint="eastAsia" w:asciiTheme="minorEastAsia" w:hAnsiTheme="minorEastAsia" w:eastAsiaTheme="minorEastAsia" w:cstheme="minorEastAsia"/>
                <w:b/>
                <w:sz w:val="22"/>
                <w:szCs w:val="22"/>
              </w:rPr>
            </w:pPr>
          </w:p>
          <w:p w14:paraId="2DBDBB8C">
            <w:pPr>
              <w:pStyle w:val="33"/>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 分</w:t>
            </w:r>
          </w:p>
        </w:tc>
        <w:tc>
          <w:tcPr>
            <w:tcW w:w="396" w:type="dxa"/>
            <w:noWrap w:val="0"/>
            <w:vAlign w:val="top"/>
          </w:tcPr>
          <w:p w14:paraId="296C078C">
            <w:pPr>
              <w:pStyle w:val="33"/>
              <w:rPr>
                <w:rFonts w:hint="eastAsia" w:asciiTheme="minorEastAsia" w:hAnsiTheme="minorEastAsia" w:eastAsiaTheme="minorEastAsia" w:cstheme="minorEastAsia"/>
                <w:sz w:val="22"/>
                <w:szCs w:val="22"/>
              </w:rPr>
            </w:pPr>
          </w:p>
        </w:tc>
        <w:tc>
          <w:tcPr>
            <w:tcW w:w="636" w:type="dxa"/>
            <w:noWrap w:val="0"/>
            <w:vAlign w:val="top"/>
          </w:tcPr>
          <w:p w14:paraId="2A47B558">
            <w:pPr>
              <w:pStyle w:val="33"/>
              <w:rPr>
                <w:rFonts w:hint="eastAsia" w:asciiTheme="minorEastAsia" w:hAnsiTheme="minorEastAsia" w:eastAsiaTheme="minorEastAsia" w:cstheme="minorEastAsia"/>
                <w:sz w:val="22"/>
                <w:szCs w:val="22"/>
              </w:rPr>
            </w:pPr>
          </w:p>
        </w:tc>
      </w:tr>
      <w:tr w14:paraId="506E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2" w:type="dxa"/>
            <w:noWrap w:val="0"/>
            <w:vAlign w:val="top"/>
          </w:tcPr>
          <w:p w14:paraId="42368596">
            <w:pPr>
              <w:pStyle w:val="33"/>
              <w:spacing w:before="110" w:line="229" w:lineRule="exact"/>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4920" w:type="dxa"/>
            <w:noWrap w:val="0"/>
            <w:vAlign w:val="top"/>
          </w:tcPr>
          <w:p w14:paraId="0E70A26E">
            <w:pPr>
              <w:pStyle w:val="33"/>
              <w:spacing w:before="110" w:line="229" w:lineRule="exact"/>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工作时无违反安全操作规程。</w:t>
            </w:r>
          </w:p>
        </w:tc>
        <w:tc>
          <w:tcPr>
            <w:tcW w:w="2784" w:type="dxa"/>
            <w:noWrap w:val="0"/>
            <w:vAlign w:val="top"/>
          </w:tcPr>
          <w:p w14:paraId="581F4800">
            <w:pPr>
              <w:pStyle w:val="33"/>
              <w:spacing w:before="110" w:line="229"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一次不符合要求的扣 4 分</w:t>
            </w:r>
          </w:p>
        </w:tc>
        <w:tc>
          <w:tcPr>
            <w:tcW w:w="444" w:type="dxa"/>
            <w:noWrap w:val="0"/>
            <w:vAlign w:val="top"/>
          </w:tcPr>
          <w:p w14:paraId="746A05F4">
            <w:pPr>
              <w:pStyle w:val="33"/>
              <w:spacing w:before="110" w:line="229" w:lineRule="exact"/>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 分</w:t>
            </w:r>
          </w:p>
        </w:tc>
        <w:tc>
          <w:tcPr>
            <w:tcW w:w="396" w:type="dxa"/>
            <w:noWrap w:val="0"/>
            <w:vAlign w:val="top"/>
          </w:tcPr>
          <w:p w14:paraId="5151463D">
            <w:pPr>
              <w:pStyle w:val="33"/>
              <w:rPr>
                <w:rFonts w:hint="eastAsia" w:asciiTheme="minorEastAsia" w:hAnsiTheme="minorEastAsia" w:eastAsiaTheme="minorEastAsia" w:cstheme="minorEastAsia"/>
                <w:sz w:val="22"/>
                <w:szCs w:val="22"/>
              </w:rPr>
            </w:pPr>
          </w:p>
        </w:tc>
        <w:tc>
          <w:tcPr>
            <w:tcW w:w="636" w:type="dxa"/>
            <w:noWrap w:val="0"/>
            <w:vAlign w:val="top"/>
          </w:tcPr>
          <w:p w14:paraId="640468B4">
            <w:pPr>
              <w:pStyle w:val="33"/>
              <w:rPr>
                <w:rFonts w:hint="eastAsia" w:asciiTheme="minorEastAsia" w:hAnsiTheme="minorEastAsia" w:eastAsiaTheme="minorEastAsia" w:cstheme="minorEastAsia"/>
                <w:sz w:val="22"/>
                <w:szCs w:val="22"/>
              </w:rPr>
            </w:pPr>
          </w:p>
        </w:tc>
      </w:tr>
      <w:tr w14:paraId="0940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72" w:type="dxa"/>
            <w:noWrap w:val="0"/>
            <w:vAlign w:val="top"/>
          </w:tcPr>
          <w:p w14:paraId="2736DD0F">
            <w:pPr>
              <w:pStyle w:val="33"/>
              <w:spacing w:before="107"/>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4920" w:type="dxa"/>
            <w:noWrap w:val="0"/>
            <w:vAlign w:val="top"/>
          </w:tcPr>
          <w:p w14:paraId="37E09D62">
            <w:pPr>
              <w:pStyle w:val="33"/>
              <w:spacing w:before="107"/>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每次维保工作完成后，及时清理工作现场。</w:t>
            </w:r>
          </w:p>
        </w:tc>
        <w:tc>
          <w:tcPr>
            <w:tcW w:w="2784" w:type="dxa"/>
            <w:noWrap w:val="0"/>
            <w:vAlign w:val="top"/>
          </w:tcPr>
          <w:p w14:paraId="7FD0618A">
            <w:pPr>
              <w:pStyle w:val="33"/>
              <w:spacing w:before="107"/>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目测检查，一次不符合的扣 2 分。</w:t>
            </w:r>
          </w:p>
        </w:tc>
        <w:tc>
          <w:tcPr>
            <w:tcW w:w="444" w:type="dxa"/>
            <w:noWrap w:val="0"/>
            <w:vAlign w:val="top"/>
          </w:tcPr>
          <w:p w14:paraId="3DE06790">
            <w:pPr>
              <w:pStyle w:val="33"/>
              <w:spacing w:before="107"/>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分</w:t>
            </w:r>
          </w:p>
        </w:tc>
        <w:tc>
          <w:tcPr>
            <w:tcW w:w="396" w:type="dxa"/>
            <w:noWrap w:val="0"/>
            <w:vAlign w:val="top"/>
          </w:tcPr>
          <w:p w14:paraId="65C7042C">
            <w:pPr>
              <w:pStyle w:val="33"/>
              <w:rPr>
                <w:rFonts w:hint="eastAsia" w:asciiTheme="minorEastAsia" w:hAnsiTheme="minorEastAsia" w:eastAsiaTheme="minorEastAsia" w:cstheme="minorEastAsia"/>
                <w:sz w:val="22"/>
                <w:szCs w:val="22"/>
              </w:rPr>
            </w:pPr>
          </w:p>
        </w:tc>
        <w:tc>
          <w:tcPr>
            <w:tcW w:w="636" w:type="dxa"/>
            <w:noWrap w:val="0"/>
            <w:vAlign w:val="top"/>
          </w:tcPr>
          <w:p w14:paraId="5851184B">
            <w:pPr>
              <w:pStyle w:val="33"/>
              <w:rPr>
                <w:rFonts w:hint="eastAsia" w:asciiTheme="minorEastAsia" w:hAnsiTheme="minorEastAsia" w:eastAsiaTheme="minorEastAsia" w:cstheme="minorEastAsia"/>
                <w:sz w:val="22"/>
                <w:szCs w:val="22"/>
              </w:rPr>
            </w:pPr>
          </w:p>
        </w:tc>
      </w:tr>
      <w:tr w14:paraId="3C278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72" w:type="dxa"/>
            <w:noWrap w:val="0"/>
            <w:vAlign w:val="top"/>
          </w:tcPr>
          <w:p w14:paraId="0C2933AC">
            <w:pPr>
              <w:pStyle w:val="33"/>
              <w:spacing w:before="12"/>
              <w:rPr>
                <w:rFonts w:hint="eastAsia" w:asciiTheme="minorEastAsia" w:hAnsiTheme="minorEastAsia" w:eastAsiaTheme="minorEastAsia" w:cstheme="minorEastAsia"/>
                <w:b/>
                <w:sz w:val="22"/>
                <w:szCs w:val="22"/>
              </w:rPr>
            </w:pPr>
          </w:p>
          <w:p w14:paraId="58518645">
            <w:pPr>
              <w:pStyle w:val="33"/>
              <w:spacing w:before="1"/>
              <w:ind w:right="117"/>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4920" w:type="dxa"/>
            <w:noWrap w:val="0"/>
            <w:vAlign w:val="top"/>
          </w:tcPr>
          <w:p w14:paraId="79F19C73">
            <w:pPr>
              <w:pStyle w:val="33"/>
              <w:spacing w:before="107"/>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发现安全隐患及时报告并采取有效措施。</w:t>
            </w:r>
          </w:p>
        </w:tc>
        <w:tc>
          <w:tcPr>
            <w:tcW w:w="2784" w:type="dxa"/>
            <w:noWrap w:val="0"/>
            <w:vAlign w:val="top"/>
          </w:tcPr>
          <w:p w14:paraId="29862AF4">
            <w:pPr>
              <w:pStyle w:val="33"/>
              <w:spacing w:before="107"/>
              <w:ind w:left="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未及时采取有效措施或造成安全事故的的承担相关责任并扣 4 分</w:t>
            </w:r>
          </w:p>
        </w:tc>
        <w:tc>
          <w:tcPr>
            <w:tcW w:w="444" w:type="dxa"/>
            <w:noWrap w:val="0"/>
            <w:vAlign w:val="top"/>
          </w:tcPr>
          <w:p w14:paraId="0CFE815B">
            <w:pPr>
              <w:pStyle w:val="33"/>
              <w:spacing w:before="12"/>
              <w:rPr>
                <w:rFonts w:hint="eastAsia" w:asciiTheme="minorEastAsia" w:hAnsiTheme="minorEastAsia" w:eastAsiaTheme="minorEastAsia" w:cstheme="minorEastAsia"/>
                <w:b/>
                <w:sz w:val="22"/>
                <w:szCs w:val="22"/>
              </w:rPr>
            </w:pPr>
          </w:p>
          <w:p w14:paraId="63776359">
            <w:pPr>
              <w:pStyle w:val="33"/>
              <w:spacing w:before="1"/>
              <w:ind w:left="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 分</w:t>
            </w:r>
          </w:p>
        </w:tc>
        <w:tc>
          <w:tcPr>
            <w:tcW w:w="396" w:type="dxa"/>
            <w:noWrap w:val="0"/>
            <w:vAlign w:val="top"/>
          </w:tcPr>
          <w:p w14:paraId="4599B5C9">
            <w:pPr>
              <w:pStyle w:val="33"/>
              <w:rPr>
                <w:rFonts w:hint="eastAsia" w:asciiTheme="minorEastAsia" w:hAnsiTheme="minorEastAsia" w:eastAsiaTheme="minorEastAsia" w:cstheme="minorEastAsia"/>
                <w:sz w:val="22"/>
                <w:szCs w:val="22"/>
              </w:rPr>
            </w:pPr>
          </w:p>
        </w:tc>
        <w:tc>
          <w:tcPr>
            <w:tcW w:w="636" w:type="dxa"/>
            <w:noWrap w:val="0"/>
            <w:vAlign w:val="top"/>
          </w:tcPr>
          <w:p w14:paraId="7147F96F">
            <w:pPr>
              <w:pStyle w:val="33"/>
              <w:rPr>
                <w:rFonts w:hint="eastAsia" w:asciiTheme="minorEastAsia" w:hAnsiTheme="minorEastAsia" w:eastAsiaTheme="minorEastAsia" w:cstheme="minorEastAsia"/>
                <w:sz w:val="22"/>
                <w:szCs w:val="22"/>
              </w:rPr>
            </w:pPr>
          </w:p>
        </w:tc>
      </w:tr>
      <w:tr w14:paraId="5BDD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372" w:type="dxa"/>
            <w:noWrap w:val="0"/>
            <w:vAlign w:val="top"/>
          </w:tcPr>
          <w:p w14:paraId="1FF5D5DD">
            <w:pPr>
              <w:pStyle w:val="33"/>
              <w:spacing w:line="379" w:lineRule="auto"/>
              <w:ind w:right="102"/>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备注</w:t>
            </w:r>
          </w:p>
        </w:tc>
        <w:tc>
          <w:tcPr>
            <w:tcW w:w="7704" w:type="dxa"/>
            <w:gridSpan w:val="2"/>
            <w:noWrap w:val="0"/>
            <w:vAlign w:val="top"/>
          </w:tcPr>
          <w:p w14:paraId="60BBFA40">
            <w:pPr>
              <w:pStyle w:val="33"/>
              <w:spacing w:before="132" w:line="222" w:lineRule="exact"/>
              <w:ind w:left="1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rPr>
              <w:t>满分100分，90分及以上为良好，每扣一分扣除200元电梯维保费用；评分低于90分每少一分扣500元电梯维保费用；70分以下考核为不合格，服服务费按照60%发放。连续两月不合格合同自动解除。</w:t>
            </w:r>
          </w:p>
        </w:tc>
        <w:tc>
          <w:tcPr>
            <w:tcW w:w="840" w:type="dxa"/>
            <w:gridSpan w:val="2"/>
            <w:noWrap w:val="0"/>
            <w:vAlign w:val="top"/>
          </w:tcPr>
          <w:p w14:paraId="7CBD704E">
            <w:pPr>
              <w:pStyle w:val="33"/>
              <w:rPr>
                <w:rFonts w:hint="eastAsia" w:asciiTheme="minorEastAsia" w:hAnsiTheme="minorEastAsia" w:eastAsiaTheme="minorEastAsia" w:cstheme="minorEastAsia"/>
                <w:b/>
                <w:sz w:val="22"/>
                <w:szCs w:val="22"/>
              </w:rPr>
            </w:pPr>
          </w:p>
          <w:p w14:paraId="54F09223">
            <w:pPr>
              <w:pStyle w:val="33"/>
              <w:spacing w:before="5"/>
              <w:rPr>
                <w:rFonts w:hint="eastAsia" w:asciiTheme="minorEastAsia" w:hAnsiTheme="minorEastAsia" w:eastAsiaTheme="minorEastAsia" w:cstheme="minorEastAsia"/>
                <w:b/>
                <w:sz w:val="22"/>
                <w:szCs w:val="22"/>
              </w:rPr>
            </w:pPr>
          </w:p>
          <w:p w14:paraId="57DA88BE">
            <w:pPr>
              <w:pStyle w:val="33"/>
              <w:ind w:left="33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合计</w:t>
            </w:r>
          </w:p>
        </w:tc>
        <w:tc>
          <w:tcPr>
            <w:tcW w:w="636" w:type="dxa"/>
            <w:noWrap w:val="0"/>
            <w:vAlign w:val="top"/>
          </w:tcPr>
          <w:p w14:paraId="66425E6E">
            <w:pPr>
              <w:pStyle w:val="33"/>
              <w:rPr>
                <w:rFonts w:hint="eastAsia" w:asciiTheme="minorEastAsia" w:hAnsiTheme="minorEastAsia" w:eastAsiaTheme="minorEastAsia" w:cstheme="minorEastAsia"/>
                <w:sz w:val="22"/>
                <w:szCs w:val="22"/>
              </w:rPr>
            </w:pPr>
          </w:p>
        </w:tc>
      </w:tr>
    </w:tbl>
    <w:p w14:paraId="1D18C249">
      <w:pPr>
        <w:pStyle w:val="3"/>
        <w:widowControl/>
        <w:spacing w:before="0" w:after="0" w:line="240" w:lineRule="auto"/>
        <w:jc w:val="left"/>
        <w:rPr>
          <w:rFonts w:hint="eastAsia" w:ascii="宋体" w:hAnsi="宋体" w:eastAsia="宋体" w:cs="宋体"/>
          <w:sz w:val="24"/>
          <w:szCs w:val="24"/>
        </w:rPr>
      </w:pPr>
    </w:p>
    <w:p w14:paraId="7D79FBF6">
      <w:pPr>
        <w:pStyle w:val="3"/>
        <w:widowControl/>
        <w:spacing w:before="0" w:after="0"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14:paraId="41B54EDA">
      <w:pPr>
        <w:pStyle w:val="3"/>
        <w:widowControl/>
        <w:spacing w:before="0" w:after="0" w:line="240" w:lineRule="auto"/>
        <w:jc w:val="left"/>
        <w:rPr>
          <w:rFonts w:hint="eastAsia" w:ascii="宋体" w:hAnsi="宋体" w:eastAsia="宋体" w:cs="宋体"/>
          <w:sz w:val="24"/>
          <w:szCs w:val="24"/>
        </w:rPr>
      </w:pPr>
      <w:r>
        <w:rPr>
          <w:rFonts w:hint="eastAsia" w:ascii="宋体" w:hAnsi="宋体" w:eastAsia="宋体" w:cs="宋体"/>
          <w:sz w:val="24"/>
          <w:szCs w:val="24"/>
        </w:rPr>
        <w:t>现场维保负责人签字：                            项目经理签字：                           工程部签字：</w:t>
      </w:r>
    </w:p>
    <w:p w14:paraId="32201198">
      <w:pPr>
        <w:rPr>
          <w:rFonts w:hint="eastAsia" w:ascii="宋体" w:hAnsi="宋体" w:cs="宋体"/>
          <w:sz w:val="24"/>
          <w:szCs w:val="24"/>
        </w:rPr>
      </w:pPr>
    </w:p>
    <w:p w14:paraId="42129B5D">
      <w:pPr>
        <w:pStyle w:val="3"/>
        <w:widowControl/>
        <w:spacing w:before="0" w:after="0" w:line="240" w:lineRule="auto"/>
        <w:jc w:val="left"/>
        <w:rPr>
          <w:rFonts w:hint="eastAsia" w:ascii="宋体" w:hAnsi="宋体" w:eastAsia="宋体" w:cs="宋体"/>
          <w:sz w:val="24"/>
          <w:szCs w:val="24"/>
        </w:rPr>
        <w:sectPr>
          <w:footerReference r:id="rId8" w:type="default"/>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eastAsia="宋体" w:cs="宋体"/>
          <w:sz w:val="24"/>
          <w:szCs w:val="24"/>
        </w:rPr>
        <w:t>注：因电梯故障造成的法律纠纷由电梯维保单位负责与</w:t>
      </w:r>
      <w:r>
        <w:rPr>
          <w:rFonts w:hint="eastAsia" w:ascii="宋体" w:hAnsi="宋体" w:eastAsia="宋体" w:cs="宋体"/>
          <w:sz w:val="24"/>
          <w:szCs w:val="24"/>
          <w:lang w:eastAsia="zh-CN"/>
        </w:rPr>
        <w:t>采购人</w:t>
      </w:r>
      <w:r>
        <w:rPr>
          <w:rFonts w:hint="eastAsia" w:ascii="宋体" w:hAnsi="宋体" w:eastAsia="宋体" w:cs="宋体"/>
          <w:sz w:val="24"/>
          <w:szCs w:val="24"/>
        </w:rPr>
        <w:t>无</w:t>
      </w:r>
      <w:r>
        <w:rPr>
          <w:rFonts w:hint="eastAsia" w:ascii="宋体" w:hAnsi="宋体" w:eastAsia="宋体" w:cs="宋体"/>
          <w:sz w:val="24"/>
          <w:szCs w:val="24"/>
          <w:lang w:val="en-US" w:eastAsia="zh-CN"/>
        </w:rPr>
        <w:t>关</w:t>
      </w:r>
    </w:p>
    <w:p w14:paraId="576C33C3">
      <w:pPr>
        <w:keepNext w:val="0"/>
        <w:keepLines w:val="0"/>
        <w:widowControl/>
        <w:suppressLineNumbers w:val="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附件二、特种设备明细表</w:t>
      </w:r>
    </w:p>
    <w:tbl>
      <w:tblPr>
        <w:tblW w:w="6317" w:type="pct"/>
        <w:tblInd w:w="-1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7"/>
        <w:gridCol w:w="1483"/>
        <w:gridCol w:w="1500"/>
        <w:gridCol w:w="1200"/>
        <w:gridCol w:w="1208"/>
        <w:gridCol w:w="1009"/>
        <w:gridCol w:w="1450"/>
        <w:gridCol w:w="1550"/>
        <w:gridCol w:w="650"/>
      </w:tblGrid>
      <w:tr w14:paraId="243B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4" w:hRule="atLeast"/>
        </w:trPr>
        <w:tc>
          <w:tcPr>
            <w:tcW w:w="5000" w:type="pct"/>
            <w:gridSpan w:val="9"/>
            <w:tcBorders>
              <w:top w:val="single" w:color="auto" w:sz="4" w:space="0"/>
              <w:left w:val="single" w:color="auto" w:sz="4" w:space="0"/>
              <w:bottom w:val="single" w:color="auto" w:sz="4" w:space="0"/>
              <w:right w:val="single" w:color="auto" w:sz="4" w:space="0"/>
            </w:tcBorders>
            <w:shd w:val="clear"/>
            <w:noWrap/>
            <w:vAlign w:val="center"/>
          </w:tcPr>
          <w:p w14:paraId="3A5E7E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特种设备基本信息</w:t>
            </w:r>
          </w:p>
        </w:tc>
      </w:tr>
      <w:tr w14:paraId="091E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32" w:type="pct"/>
            <w:tcBorders>
              <w:top w:val="single" w:color="auto" w:sz="4" w:space="0"/>
              <w:left w:val="single" w:color="000000" w:sz="4" w:space="0"/>
              <w:bottom w:val="single" w:color="000000" w:sz="4" w:space="0"/>
              <w:right w:val="single" w:color="000000" w:sz="4" w:space="0"/>
            </w:tcBorders>
            <w:shd w:val="clear"/>
            <w:noWrap/>
            <w:vAlign w:val="center"/>
          </w:tcPr>
          <w:p w14:paraId="6D1C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688" w:type="pct"/>
            <w:tcBorders>
              <w:top w:val="single" w:color="auto" w:sz="4" w:space="0"/>
              <w:left w:val="single" w:color="000000" w:sz="4" w:space="0"/>
              <w:bottom w:val="single" w:color="000000" w:sz="4" w:space="0"/>
              <w:right w:val="single" w:color="000000" w:sz="4" w:space="0"/>
            </w:tcBorders>
            <w:shd w:val="clear"/>
            <w:noWrap/>
            <w:vAlign w:val="center"/>
          </w:tcPr>
          <w:p w14:paraId="626B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设备名称</w:t>
            </w:r>
          </w:p>
        </w:tc>
        <w:tc>
          <w:tcPr>
            <w:tcW w:w="696" w:type="pct"/>
            <w:tcBorders>
              <w:top w:val="single" w:color="auto" w:sz="4" w:space="0"/>
              <w:left w:val="single" w:color="000000" w:sz="4" w:space="0"/>
              <w:bottom w:val="single" w:color="000000" w:sz="4" w:space="0"/>
              <w:right w:val="single" w:color="000000" w:sz="4" w:space="0"/>
            </w:tcBorders>
            <w:shd w:val="clear"/>
            <w:noWrap/>
            <w:vAlign w:val="center"/>
          </w:tcPr>
          <w:p w14:paraId="01CB3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设备型号</w:t>
            </w:r>
          </w:p>
        </w:tc>
        <w:tc>
          <w:tcPr>
            <w:tcW w:w="557" w:type="pct"/>
            <w:tcBorders>
              <w:top w:val="single" w:color="auto" w:sz="4" w:space="0"/>
              <w:left w:val="single" w:color="000000" w:sz="4" w:space="0"/>
              <w:bottom w:val="single" w:color="000000" w:sz="4" w:space="0"/>
              <w:right w:val="single" w:color="000000" w:sz="4" w:space="0"/>
            </w:tcBorders>
            <w:shd w:val="clear"/>
            <w:noWrap/>
            <w:vAlign w:val="center"/>
          </w:tcPr>
          <w:p w14:paraId="10D6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设备代码</w:t>
            </w:r>
          </w:p>
        </w:tc>
        <w:tc>
          <w:tcPr>
            <w:tcW w:w="560" w:type="pct"/>
            <w:tcBorders>
              <w:top w:val="single" w:color="auto" w:sz="4" w:space="0"/>
              <w:left w:val="single" w:color="000000" w:sz="4" w:space="0"/>
              <w:bottom w:val="single" w:color="000000" w:sz="4" w:space="0"/>
              <w:right w:val="single" w:color="000000" w:sz="4" w:space="0"/>
            </w:tcBorders>
            <w:shd w:val="clear"/>
            <w:noWrap/>
            <w:vAlign w:val="center"/>
          </w:tcPr>
          <w:p w14:paraId="1E1C8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产品编号</w:t>
            </w:r>
          </w:p>
        </w:tc>
        <w:tc>
          <w:tcPr>
            <w:tcW w:w="468" w:type="pct"/>
            <w:tcBorders>
              <w:top w:val="single" w:color="auto" w:sz="4" w:space="0"/>
              <w:left w:val="single" w:color="000000" w:sz="4" w:space="0"/>
              <w:bottom w:val="single" w:color="000000" w:sz="4" w:space="0"/>
              <w:right w:val="single" w:color="000000" w:sz="4" w:space="0"/>
            </w:tcBorders>
            <w:shd w:val="clear"/>
            <w:noWrap/>
            <w:vAlign w:val="center"/>
          </w:tcPr>
          <w:p w14:paraId="543B6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检验到期日期</w:t>
            </w:r>
          </w:p>
        </w:tc>
        <w:tc>
          <w:tcPr>
            <w:tcW w:w="673" w:type="pct"/>
            <w:tcBorders>
              <w:top w:val="single" w:color="auto" w:sz="4" w:space="0"/>
              <w:left w:val="single" w:color="000000" w:sz="4" w:space="0"/>
              <w:bottom w:val="single" w:color="000000" w:sz="4" w:space="0"/>
              <w:right w:val="single" w:color="000000" w:sz="4" w:space="0"/>
            </w:tcBorders>
            <w:shd w:val="clear"/>
            <w:noWrap/>
            <w:vAlign w:val="center"/>
          </w:tcPr>
          <w:p w14:paraId="17F3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制造单位名称</w:t>
            </w:r>
          </w:p>
        </w:tc>
        <w:tc>
          <w:tcPr>
            <w:tcW w:w="719" w:type="pct"/>
            <w:tcBorders>
              <w:top w:val="single" w:color="auto" w:sz="4" w:space="0"/>
              <w:left w:val="single" w:color="000000" w:sz="4" w:space="0"/>
              <w:bottom w:val="single" w:color="000000" w:sz="4" w:space="0"/>
              <w:right w:val="single" w:color="000000" w:sz="4" w:space="0"/>
            </w:tcBorders>
            <w:shd w:val="clear"/>
            <w:noWrap/>
            <w:vAlign w:val="center"/>
          </w:tcPr>
          <w:p w14:paraId="6F337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使用证编号</w:t>
            </w:r>
          </w:p>
        </w:tc>
        <w:tc>
          <w:tcPr>
            <w:tcW w:w="301" w:type="pct"/>
            <w:tcBorders>
              <w:top w:val="single" w:color="auto" w:sz="4" w:space="0"/>
              <w:left w:val="single" w:color="000000" w:sz="4" w:space="0"/>
              <w:bottom w:val="single" w:color="000000" w:sz="4" w:space="0"/>
              <w:right w:val="single" w:color="000000" w:sz="4" w:space="0"/>
            </w:tcBorders>
            <w:shd w:val="clear"/>
            <w:noWrap/>
            <w:vAlign w:val="center"/>
          </w:tcPr>
          <w:p w14:paraId="5E07F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楼层</w:t>
            </w:r>
          </w:p>
        </w:tc>
      </w:tr>
      <w:tr w14:paraId="6E72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45AA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7FCB0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云珠海棠花园5#楼3单元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0066CB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54340A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3110340802201216445</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0573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D2012-1644-5</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5999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4D8752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368FF0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梯11皖HB00504(19)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4B2B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B38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B324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4450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云珠海棠花园3#楼1单元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129634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2E3B09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3110340802201216444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8954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D2012-1644-4</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1006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7DD768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394112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梯11皖HB00503(19)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1974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094E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4BDA6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79F56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云珠海棠花园5#楼1单元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405863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043968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3110340802201216442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C005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D2012-1644-2</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1627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2027-11-30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015481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3F5D2F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梯11皖HB00501(19)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22E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7E93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2A9F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00BC8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云珠海棠花园5#楼2单元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73EC26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09155E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3110340802201216441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F7B3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D2012-1644-1</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EF64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2D7094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323FBB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梯11皖HB00500(19)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237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2FD7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77DA0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74AE4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云珠海棠花园4#楼1单元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6A63A5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14F80C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3110340802201216434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C240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D2012-1643-4</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6486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636AE2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61D66F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梯11皖HB00499(19)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7183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r>
      <w:tr w14:paraId="519F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21FCB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53699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云珠海棠花园2#楼2单元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6869F8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55CA64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3110340802201216433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6D74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D2012-1643-3</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85E9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173C01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47A131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梯11皖HB00498(19)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4BC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r>
      <w:tr w14:paraId="3D6A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932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30C44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云珠海棠花园3#楼2单元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1EC5C4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1BD797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3110340802201216443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6455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D2012-1644-3</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FCBC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2B391E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3646EA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梯11皖HB00502(19)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55E7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2B3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13FA9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6FB18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云珠海棠花园4#楼2单元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581BA3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588248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3110340802201216432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286A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D2012-1643-2</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E3E8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355144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2F43FB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梯11皖HB00497(19)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1712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r>
      <w:tr w14:paraId="4B9D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AAD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2B13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云珠海棠花园2#楼1单元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54B989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TKJ800/1.0m/s-JXW.VVVF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22EE0D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3110340802201216431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F1EC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D2012-1643-1</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0DF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01B31E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7115AD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梯11皖HB00496(19)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05CB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r>
      <w:tr w14:paraId="105B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6B166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4838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云珠海棠花园1#楼4单元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5CA66F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TKJ800/1.5m/s-JXW.VVVF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511082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3110340802201216424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172A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D2012-1642-4</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521D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0DC665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517E72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梯11皖HB00495(19)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BCB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r>
      <w:tr w14:paraId="1DBC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5A456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596C0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云珠海棠花园1#楼3单元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36CFAD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TKJ800/1.5m/s-JXW.VVVF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6C2F0E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3110340802201216423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D33A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D2012-1642-3</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C7BF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29D162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644DEC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梯11皖HB00494(19)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61B1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r>
      <w:tr w14:paraId="568D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30A34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685CD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云珠海棠花园1#楼2单元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4E488B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TKJ800/1.5m/s-JXW.VVVF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2A89B2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3110340802201216422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6B3B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D2012-1642-2</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694B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7BE5F6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538ACD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梯11皖HB00493(19)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06A8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r>
      <w:tr w14:paraId="6BE3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shd w:val="clear"/>
            <w:noWrap/>
            <w:vAlign w:val="center"/>
          </w:tcPr>
          <w:p w14:paraId="0989F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688" w:type="pct"/>
            <w:tcBorders>
              <w:top w:val="single" w:color="000000" w:sz="4" w:space="0"/>
              <w:left w:val="single" w:color="000000" w:sz="4" w:space="0"/>
              <w:bottom w:val="single" w:color="000000" w:sz="4" w:space="0"/>
              <w:right w:val="single" w:color="000000" w:sz="4" w:space="0"/>
            </w:tcBorders>
            <w:shd w:val="clear"/>
            <w:noWrap/>
            <w:vAlign w:val="center"/>
          </w:tcPr>
          <w:p w14:paraId="64489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云珠海棠花园1#楼1单元</w:t>
            </w:r>
          </w:p>
        </w:tc>
        <w:tc>
          <w:tcPr>
            <w:tcW w:w="696" w:type="pct"/>
            <w:tcBorders>
              <w:top w:val="single" w:color="000000" w:sz="4" w:space="0"/>
              <w:left w:val="single" w:color="000000" w:sz="4" w:space="0"/>
              <w:bottom w:val="single" w:color="000000" w:sz="4" w:space="0"/>
              <w:right w:val="single" w:color="000000" w:sz="4" w:space="0"/>
            </w:tcBorders>
            <w:shd w:val="clear"/>
            <w:noWrap/>
            <w:vAlign w:val="top"/>
          </w:tcPr>
          <w:p w14:paraId="4C8F4D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TKJ800/1.5m/s-JXW.VVVF</w:t>
            </w:r>
          </w:p>
        </w:tc>
        <w:tc>
          <w:tcPr>
            <w:tcW w:w="557" w:type="pct"/>
            <w:tcBorders>
              <w:top w:val="single" w:color="000000" w:sz="4" w:space="0"/>
              <w:left w:val="single" w:color="000000" w:sz="4" w:space="0"/>
              <w:bottom w:val="single" w:color="000000" w:sz="4" w:space="0"/>
              <w:right w:val="single" w:color="000000" w:sz="4" w:space="0"/>
            </w:tcBorders>
            <w:shd w:val="clear"/>
            <w:noWrap/>
            <w:vAlign w:val="top"/>
          </w:tcPr>
          <w:p w14:paraId="0C99AB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3110340802201216421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6244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D2012-1642-1</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3FFC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2026-11-30</w:t>
            </w:r>
          </w:p>
        </w:tc>
        <w:tc>
          <w:tcPr>
            <w:tcW w:w="673" w:type="pct"/>
            <w:tcBorders>
              <w:top w:val="single" w:color="000000" w:sz="4" w:space="0"/>
              <w:left w:val="single" w:color="000000" w:sz="4" w:space="0"/>
              <w:bottom w:val="single" w:color="000000" w:sz="4" w:space="0"/>
              <w:right w:val="single" w:color="000000" w:sz="4" w:space="0"/>
            </w:tcBorders>
            <w:shd w:val="clear"/>
            <w:noWrap/>
            <w:vAlign w:val="top"/>
          </w:tcPr>
          <w:p w14:paraId="236BEC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苏州帝奥电梯有限公司</w:t>
            </w:r>
          </w:p>
        </w:tc>
        <w:tc>
          <w:tcPr>
            <w:tcW w:w="719" w:type="pct"/>
            <w:tcBorders>
              <w:top w:val="single" w:color="000000" w:sz="4" w:space="0"/>
              <w:left w:val="single" w:color="000000" w:sz="4" w:space="0"/>
              <w:bottom w:val="single" w:color="000000" w:sz="4" w:space="0"/>
              <w:right w:val="single" w:color="000000" w:sz="4" w:space="0"/>
            </w:tcBorders>
            <w:shd w:val="clear"/>
            <w:noWrap/>
            <w:vAlign w:val="top"/>
          </w:tcPr>
          <w:p w14:paraId="095809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梯11皖HB00492(19)</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6761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r>
    </w:tbl>
    <w:p w14:paraId="2D5DC25B">
      <w:pPr>
        <w:rPr>
          <w:rFonts w:hint="eastAsia" w:ascii="黑体" w:hAnsi="黑体" w:eastAsia="黑体"/>
          <w:b w:val="0"/>
          <w:highlight w:val="none"/>
        </w:rPr>
      </w:pPr>
      <w:r>
        <w:rPr>
          <w:rFonts w:hint="eastAsia" w:ascii="黑体" w:hAnsi="黑体" w:eastAsia="黑体"/>
          <w:b w:val="0"/>
          <w:sz w:val="16"/>
          <w:szCs w:val="20"/>
          <w:highlight w:val="none"/>
        </w:rPr>
        <w:br w:type="page"/>
      </w:r>
    </w:p>
    <w:p w14:paraId="3C7C27F3">
      <w:pPr>
        <w:pStyle w:val="3"/>
        <w:jc w:val="center"/>
        <w:rPr>
          <w:rFonts w:hint="eastAsia" w:hAnsi="宋体" w:eastAsia="黑体"/>
          <w:sz w:val="36"/>
          <w:szCs w:val="20"/>
          <w:highlight w:val="none"/>
          <w:lang w:eastAsia="zh-CN"/>
        </w:rPr>
      </w:pPr>
      <w:r>
        <w:rPr>
          <w:rFonts w:hint="eastAsia" w:ascii="黑体" w:hAnsi="黑体" w:eastAsia="黑体"/>
          <w:b w:val="0"/>
          <w:sz w:val="36"/>
          <w:szCs w:val="20"/>
          <w:highlight w:val="none"/>
        </w:rPr>
        <w:t>第</w:t>
      </w:r>
      <w:r>
        <w:rPr>
          <w:rFonts w:hint="eastAsia" w:ascii="黑体" w:hAnsi="黑体" w:eastAsia="黑体"/>
          <w:b w:val="0"/>
          <w:sz w:val="36"/>
          <w:szCs w:val="20"/>
          <w:highlight w:val="none"/>
          <w:lang w:eastAsia="zh-CN"/>
        </w:rPr>
        <w:t>四</w:t>
      </w:r>
      <w:r>
        <w:rPr>
          <w:rFonts w:hint="eastAsia" w:ascii="黑体" w:hAnsi="黑体" w:eastAsia="黑体"/>
          <w:b w:val="0"/>
          <w:sz w:val="36"/>
          <w:szCs w:val="20"/>
          <w:highlight w:val="none"/>
        </w:rPr>
        <w:t>章  评</w:t>
      </w:r>
      <w:r>
        <w:rPr>
          <w:rFonts w:hint="eastAsia" w:ascii="黑体" w:hAnsi="黑体" w:eastAsia="黑体"/>
          <w:b w:val="0"/>
          <w:sz w:val="36"/>
          <w:szCs w:val="20"/>
          <w:highlight w:val="none"/>
          <w:lang w:eastAsia="zh-CN"/>
        </w:rPr>
        <w:t>审方</w:t>
      </w:r>
      <w:r>
        <w:rPr>
          <w:rFonts w:hint="eastAsia" w:ascii="黑体" w:hAnsi="黑体" w:eastAsia="黑体"/>
          <w:b w:val="0"/>
          <w:sz w:val="36"/>
          <w:szCs w:val="20"/>
          <w:highlight w:val="none"/>
        </w:rPr>
        <w:t>法</w:t>
      </w:r>
      <w:bookmarkEnd w:id="41"/>
      <w:bookmarkEnd w:id="42"/>
      <w:r>
        <w:rPr>
          <w:rFonts w:hint="eastAsia" w:ascii="黑体" w:hAnsi="黑体" w:eastAsia="黑体"/>
          <w:b w:val="0"/>
          <w:sz w:val="36"/>
          <w:szCs w:val="20"/>
          <w:highlight w:val="none"/>
          <w:lang w:eastAsia="zh-CN"/>
        </w:rPr>
        <w:t>与标准</w:t>
      </w:r>
      <w:bookmarkEnd w:id="43"/>
    </w:p>
    <w:p w14:paraId="5673866D">
      <w:pPr>
        <w:pageBreakBefore w:val="0"/>
        <w:widowControl w:val="0"/>
        <w:kinsoku/>
        <w:wordWrap/>
        <w:overflowPunct/>
        <w:topLinePunct w:val="0"/>
        <w:autoSpaceDE/>
        <w:autoSpaceDN/>
        <w:bidi w:val="0"/>
        <w:adjustRightInd w:val="0"/>
        <w:snapToGrid w:val="0"/>
        <w:spacing w:line="360" w:lineRule="auto"/>
        <w:ind w:right="-10" w:firstLine="422" w:firstLineChars="175"/>
        <w:textAlignment w:val="auto"/>
        <w:rPr>
          <w:rFonts w:hint="eastAsia" w:ascii="宋体" w:hAnsi="宋体"/>
          <w:b/>
          <w:bCs/>
          <w:sz w:val="24"/>
          <w:lang w:eastAsia="zh-CN"/>
        </w:rPr>
      </w:pPr>
      <w:bookmarkStart w:id="44" w:name="_Toc448"/>
      <w:r>
        <w:rPr>
          <w:rFonts w:hint="eastAsia" w:ascii="宋体" w:hAnsi="宋体"/>
          <w:b/>
          <w:bCs/>
          <w:sz w:val="24"/>
          <w:lang w:eastAsia="zh-CN"/>
        </w:rPr>
        <w:t>一、总则</w:t>
      </w:r>
    </w:p>
    <w:p w14:paraId="4730F6BA">
      <w:pPr>
        <w:pageBreakBefore w:val="0"/>
        <w:widowControl w:val="0"/>
        <w:kinsoku/>
        <w:wordWrap/>
        <w:overflowPunct/>
        <w:topLinePunct w:val="0"/>
        <w:autoSpaceDE/>
        <w:autoSpaceDN/>
        <w:bidi w:val="0"/>
        <w:adjustRightInd w:val="0"/>
        <w:snapToGrid w:val="0"/>
        <w:spacing w:line="360" w:lineRule="auto"/>
        <w:ind w:right="-10" w:firstLine="420" w:firstLineChars="175"/>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本项目将按照磋商文件第二章 投标人须知的相关要求及本章的规定评审。</w:t>
      </w:r>
    </w:p>
    <w:p w14:paraId="56BCE58C">
      <w:pPr>
        <w:pageBreakBefore w:val="0"/>
        <w:widowControl w:val="0"/>
        <w:numPr>
          <w:ilvl w:val="0"/>
          <w:numId w:val="13"/>
        </w:numPr>
        <w:kinsoku/>
        <w:wordWrap/>
        <w:overflowPunct/>
        <w:topLinePunct w:val="0"/>
        <w:autoSpaceDE/>
        <w:autoSpaceDN/>
        <w:bidi w:val="0"/>
        <w:snapToGrid w:val="0"/>
        <w:spacing w:before="0" w:after="0" w:line="360" w:lineRule="auto"/>
        <w:ind w:left="240" w:leftChars="0" w:firstLineChars="0"/>
        <w:textAlignment w:val="auto"/>
        <w:outlineLvl w:val="9"/>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评审方法与标准</w:t>
      </w:r>
    </w:p>
    <w:p w14:paraId="4D22F94B">
      <w:pPr>
        <w:adjustRightInd w:val="0"/>
        <w:snapToGrid w:val="0"/>
        <w:spacing w:line="360" w:lineRule="auto"/>
        <w:ind w:right="-10" w:firstLine="422" w:firstLineChars="175"/>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2.1 初审</w:t>
      </w:r>
    </w:p>
    <w:p w14:paraId="7F987E11">
      <w:pPr>
        <w:adjustRightInd w:val="0"/>
        <w:snapToGrid w:val="0"/>
        <w:spacing w:line="360" w:lineRule="auto"/>
        <w:ind w:right="-10" w:firstLine="420" w:firstLineChars="175"/>
        <w:rPr>
          <w:rFonts w:hint="eastAsia" w:ascii="宋体" w:hAnsi="宋体" w:eastAsia="宋体" w:cs="Times New Roman"/>
          <w:sz w:val="24"/>
          <w:lang w:val="en-US" w:eastAsia="zh-CN"/>
        </w:rPr>
      </w:pPr>
      <w:r>
        <w:rPr>
          <w:rFonts w:hint="eastAsia" w:ascii="宋体" w:hAnsi="宋体" w:eastAsia="宋体" w:cs="Times New Roman"/>
          <w:sz w:val="24"/>
          <w:lang w:val="en-US" w:eastAsia="zh-CN"/>
        </w:rPr>
        <w:t>磋商小组对投标人的响应文件进行初审，以确定其是否满足磋商文件的实质</w:t>
      </w:r>
    </w:p>
    <w:p w14:paraId="3239C57A">
      <w:pPr>
        <w:adjustRightInd w:val="0"/>
        <w:snapToGrid w:val="0"/>
        <w:spacing w:line="360" w:lineRule="auto"/>
        <w:ind w:right="-10" w:firstLine="420" w:firstLineChars="175"/>
        <w:rPr>
          <w:rFonts w:hint="eastAsia"/>
          <w:lang w:val="en-US" w:eastAsia="zh-CN"/>
        </w:rPr>
      </w:pPr>
      <w:r>
        <w:rPr>
          <w:rFonts w:hint="eastAsia" w:ascii="宋体" w:hAnsi="宋体" w:eastAsia="宋体" w:cs="Times New Roman"/>
          <w:sz w:val="24"/>
          <w:lang w:val="en-US" w:eastAsia="zh-CN"/>
        </w:rPr>
        <w:t>性要求。初审表如下：</w:t>
      </w:r>
    </w:p>
    <w:tbl>
      <w:tblPr>
        <w:tblStyle w:val="23"/>
        <w:tblW w:w="5271" w:type="pct"/>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357"/>
        <w:gridCol w:w="2129"/>
        <w:gridCol w:w="751"/>
        <w:gridCol w:w="3035"/>
      </w:tblGrid>
      <w:tr w14:paraId="6B44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2A23F68A">
            <w:pPr>
              <w:pStyle w:val="32"/>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lang w:val="en-US" w:eastAsia="zh-CN"/>
              </w:rPr>
            </w:pPr>
            <w:r>
              <w:rPr>
                <w:rFonts w:hint="eastAsia" w:ascii="宋体" w:hAnsi="宋体"/>
                <w:b/>
                <w:color w:val="auto"/>
                <w:szCs w:val="24"/>
                <w:highlight w:val="none"/>
                <w:lang w:val="en-US" w:eastAsia="zh-CN"/>
              </w:rPr>
              <w:t>初审表（废标指标一览表）</w:t>
            </w:r>
          </w:p>
        </w:tc>
      </w:tr>
      <w:tr w14:paraId="1CE4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96" w:type="pct"/>
            <w:tcBorders>
              <w:bottom w:val="single" w:color="auto" w:sz="4" w:space="0"/>
            </w:tcBorders>
            <w:noWrap w:val="0"/>
            <w:vAlign w:val="center"/>
          </w:tcPr>
          <w:p w14:paraId="46A64787">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312" w:type="pct"/>
            <w:tcBorders>
              <w:bottom w:val="single" w:color="auto" w:sz="4" w:space="0"/>
            </w:tcBorders>
            <w:noWrap w:val="0"/>
            <w:vAlign w:val="center"/>
          </w:tcPr>
          <w:p w14:paraId="269B84C3">
            <w:pPr>
              <w:pStyle w:val="32"/>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lang w:val="en-US" w:eastAsia="zh-CN"/>
              </w:rPr>
            </w:pPr>
            <w:r>
              <w:rPr>
                <w:rFonts w:hint="eastAsia" w:ascii="宋体" w:hAnsi="宋体"/>
                <w:color w:val="auto"/>
                <w:kern w:val="2"/>
                <w:szCs w:val="24"/>
                <w:highlight w:val="none"/>
                <w:lang w:val="en-US" w:eastAsia="zh-CN"/>
              </w:rPr>
              <w:t>指标名称</w:t>
            </w:r>
          </w:p>
        </w:tc>
        <w:tc>
          <w:tcPr>
            <w:tcW w:w="1185" w:type="pct"/>
            <w:tcBorders>
              <w:bottom w:val="single" w:color="auto" w:sz="4" w:space="0"/>
            </w:tcBorders>
            <w:noWrap w:val="0"/>
            <w:vAlign w:val="center"/>
          </w:tcPr>
          <w:p w14:paraId="67C1F713">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指标要求</w:t>
            </w:r>
          </w:p>
        </w:tc>
        <w:tc>
          <w:tcPr>
            <w:tcW w:w="418" w:type="pct"/>
            <w:tcBorders>
              <w:bottom w:val="single" w:color="auto" w:sz="4" w:space="0"/>
            </w:tcBorders>
            <w:noWrap w:val="0"/>
            <w:vAlign w:val="center"/>
          </w:tcPr>
          <w:p w14:paraId="62C75C42">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是否通过</w:t>
            </w:r>
          </w:p>
        </w:tc>
        <w:tc>
          <w:tcPr>
            <w:tcW w:w="1686" w:type="pct"/>
            <w:tcBorders>
              <w:bottom w:val="single" w:color="auto" w:sz="4" w:space="0"/>
            </w:tcBorders>
            <w:noWrap w:val="0"/>
            <w:vAlign w:val="center"/>
          </w:tcPr>
          <w:p w14:paraId="4C147090">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投标文件格式及提交资料要求</w:t>
            </w:r>
          </w:p>
        </w:tc>
      </w:tr>
      <w:tr w14:paraId="64F2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96" w:type="pct"/>
            <w:tcBorders>
              <w:bottom w:val="single" w:color="auto" w:sz="4" w:space="0"/>
            </w:tcBorders>
            <w:noWrap w:val="0"/>
            <w:vAlign w:val="center"/>
          </w:tcPr>
          <w:p w14:paraId="11D13222">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312" w:type="pct"/>
            <w:tcBorders>
              <w:bottom w:val="single" w:color="auto" w:sz="4" w:space="0"/>
            </w:tcBorders>
            <w:noWrap w:val="0"/>
            <w:vAlign w:val="center"/>
          </w:tcPr>
          <w:p w14:paraId="1FDE7896">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1185" w:type="pct"/>
            <w:tcBorders>
              <w:bottom w:val="single" w:color="auto" w:sz="4" w:space="0"/>
            </w:tcBorders>
            <w:noWrap w:val="0"/>
            <w:vAlign w:val="center"/>
          </w:tcPr>
          <w:p w14:paraId="1447DF15">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418" w:type="pct"/>
            <w:tcBorders>
              <w:bottom w:val="single" w:color="auto" w:sz="4" w:space="0"/>
            </w:tcBorders>
            <w:noWrap w:val="0"/>
            <w:vAlign w:val="center"/>
          </w:tcPr>
          <w:p w14:paraId="12F7A6D9">
            <w:pPr>
              <w:adjustRightInd w:val="0"/>
              <w:snapToGrid w:val="0"/>
              <w:spacing w:line="420" w:lineRule="exact"/>
              <w:ind w:right="-11"/>
              <w:jc w:val="center"/>
              <w:rPr>
                <w:rFonts w:hint="eastAsia" w:ascii="宋体" w:hAnsi="宋体"/>
                <w:color w:val="auto"/>
                <w:sz w:val="24"/>
                <w:szCs w:val="24"/>
                <w:highlight w:val="none"/>
              </w:rPr>
            </w:pPr>
          </w:p>
        </w:tc>
        <w:tc>
          <w:tcPr>
            <w:tcW w:w="1686" w:type="pct"/>
            <w:tcBorders>
              <w:bottom w:val="single" w:color="auto" w:sz="4" w:space="0"/>
            </w:tcBorders>
            <w:noWrap w:val="0"/>
            <w:vAlign w:val="center"/>
          </w:tcPr>
          <w:p w14:paraId="0D68182A">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提供有效的营业执照（或事业单位法人证书）的</w:t>
            </w:r>
            <w:r>
              <w:rPr>
                <w:rFonts w:hint="eastAsia" w:ascii="宋体" w:hAnsi="宋体"/>
                <w:color w:val="auto"/>
                <w:sz w:val="24"/>
                <w:szCs w:val="24"/>
                <w:highlight w:val="none"/>
                <w:lang w:eastAsia="zh-CN"/>
              </w:rPr>
              <w:t>复印件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14:paraId="7F04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396" w:type="pct"/>
            <w:noWrap w:val="0"/>
            <w:vAlign w:val="center"/>
          </w:tcPr>
          <w:p w14:paraId="278EFD92">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312" w:type="pct"/>
            <w:noWrap w:val="0"/>
            <w:vAlign w:val="center"/>
          </w:tcPr>
          <w:p w14:paraId="589FA850">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投标函</w:t>
            </w:r>
          </w:p>
        </w:tc>
        <w:tc>
          <w:tcPr>
            <w:tcW w:w="1185" w:type="pct"/>
            <w:noWrap w:val="0"/>
            <w:vAlign w:val="center"/>
          </w:tcPr>
          <w:p w14:paraId="009C9C80">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08A65C0E">
            <w:pPr>
              <w:adjustRightInd w:val="0"/>
              <w:snapToGrid w:val="0"/>
              <w:spacing w:line="420" w:lineRule="exact"/>
              <w:ind w:right="-11"/>
              <w:jc w:val="center"/>
              <w:rPr>
                <w:rFonts w:hint="eastAsia" w:ascii="宋体" w:hAnsi="宋体"/>
                <w:color w:val="auto"/>
                <w:sz w:val="24"/>
                <w:szCs w:val="24"/>
                <w:highlight w:val="none"/>
              </w:rPr>
            </w:pPr>
          </w:p>
        </w:tc>
        <w:tc>
          <w:tcPr>
            <w:tcW w:w="1686" w:type="pct"/>
            <w:noWrap w:val="0"/>
            <w:vAlign w:val="center"/>
          </w:tcPr>
          <w:p w14:paraId="2DD085F2">
            <w:pPr>
              <w:adjustRightInd w:val="0"/>
              <w:snapToGrid w:val="0"/>
              <w:spacing w:line="420" w:lineRule="exact"/>
              <w:ind w:right="-11"/>
              <w:jc w:val="center"/>
              <w:rPr>
                <w:rFonts w:hint="eastAsia" w:ascii="宋体" w:hAnsi="宋体"/>
                <w:color w:val="auto"/>
                <w:sz w:val="24"/>
                <w:szCs w:val="24"/>
                <w:highlight w:val="none"/>
              </w:rPr>
            </w:pPr>
          </w:p>
        </w:tc>
      </w:tr>
      <w:tr w14:paraId="739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17FC104E">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1312" w:type="pct"/>
            <w:noWrap w:val="0"/>
            <w:vAlign w:val="center"/>
          </w:tcPr>
          <w:p w14:paraId="3A55165C">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法定代表人身份证明或</w:t>
            </w:r>
            <w:r>
              <w:rPr>
                <w:rFonts w:hint="eastAsia" w:ascii="宋体" w:hAnsi="宋体"/>
                <w:color w:val="auto"/>
                <w:sz w:val="24"/>
                <w:szCs w:val="24"/>
                <w:highlight w:val="none"/>
              </w:rPr>
              <w:t>投标授权书</w:t>
            </w:r>
          </w:p>
        </w:tc>
        <w:tc>
          <w:tcPr>
            <w:tcW w:w="1185" w:type="pct"/>
            <w:noWrap w:val="0"/>
            <w:vAlign w:val="center"/>
          </w:tcPr>
          <w:p w14:paraId="70D2E480">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62E3ED24">
            <w:pPr>
              <w:adjustRightInd w:val="0"/>
              <w:snapToGrid w:val="0"/>
              <w:spacing w:line="420" w:lineRule="exact"/>
              <w:ind w:right="-11"/>
              <w:jc w:val="center"/>
              <w:rPr>
                <w:rFonts w:hint="eastAsia" w:ascii="宋体" w:hAnsi="宋体"/>
                <w:color w:val="auto"/>
                <w:sz w:val="24"/>
                <w:szCs w:val="24"/>
                <w:highlight w:val="none"/>
              </w:rPr>
            </w:pPr>
          </w:p>
        </w:tc>
        <w:tc>
          <w:tcPr>
            <w:tcW w:w="1686" w:type="pct"/>
            <w:noWrap w:val="0"/>
            <w:vAlign w:val="center"/>
          </w:tcPr>
          <w:p w14:paraId="5D49EA47">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详见第</w:t>
            </w:r>
            <w:r>
              <w:rPr>
                <w:rFonts w:hint="eastAsia" w:hAnsi="宋体"/>
                <w:color w:val="auto"/>
                <w:sz w:val="24"/>
                <w:szCs w:val="24"/>
                <w:highlight w:val="none"/>
                <w:lang w:val="en-US" w:eastAsia="zh-CN"/>
              </w:rPr>
              <w:t>六</w:t>
            </w:r>
            <w:r>
              <w:rPr>
                <w:rFonts w:hint="eastAsia" w:ascii="宋体" w:hAnsi="宋体"/>
                <w:color w:val="auto"/>
                <w:sz w:val="24"/>
                <w:szCs w:val="24"/>
                <w:highlight w:val="none"/>
              </w:rPr>
              <w:t>章投标文件格式“投标授权书”</w:t>
            </w:r>
          </w:p>
        </w:tc>
      </w:tr>
      <w:tr w14:paraId="7D4F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0048B798">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p>
        </w:tc>
        <w:tc>
          <w:tcPr>
            <w:tcW w:w="1312" w:type="pct"/>
            <w:noWrap w:val="0"/>
            <w:vAlign w:val="center"/>
          </w:tcPr>
          <w:p w14:paraId="514054C5">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1185" w:type="pct"/>
            <w:noWrap w:val="0"/>
            <w:vAlign w:val="center"/>
          </w:tcPr>
          <w:p w14:paraId="1FB47C9E">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7F148963">
            <w:pPr>
              <w:adjustRightInd w:val="0"/>
              <w:snapToGrid w:val="0"/>
              <w:spacing w:line="360" w:lineRule="auto"/>
              <w:ind w:right="-10"/>
              <w:jc w:val="center"/>
              <w:rPr>
                <w:rFonts w:ascii="宋体" w:hAnsi="宋体"/>
                <w:color w:val="auto"/>
                <w:sz w:val="24"/>
                <w:szCs w:val="24"/>
                <w:highlight w:val="none"/>
              </w:rPr>
            </w:pPr>
          </w:p>
        </w:tc>
        <w:tc>
          <w:tcPr>
            <w:tcW w:w="1686" w:type="pct"/>
            <w:noWrap w:val="0"/>
            <w:vAlign w:val="center"/>
          </w:tcPr>
          <w:p w14:paraId="34EF2F80">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w:t>
            </w:r>
            <w:r>
              <w:rPr>
                <w:rFonts w:hint="eastAsia" w:hAnsi="宋体"/>
                <w:color w:val="auto"/>
                <w:sz w:val="24"/>
                <w:szCs w:val="24"/>
                <w:highlight w:val="none"/>
                <w:lang w:val="en-US" w:eastAsia="zh-CN"/>
              </w:rPr>
              <w:t>六</w:t>
            </w:r>
            <w:r>
              <w:rPr>
                <w:rFonts w:hint="eastAsia" w:ascii="宋体" w:hAnsi="宋体"/>
                <w:color w:val="auto"/>
                <w:sz w:val="24"/>
                <w:szCs w:val="24"/>
                <w:highlight w:val="none"/>
              </w:rPr>
              <w:t>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14:paraId="5CEE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3D08D4DF">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5</w:t>
            </w:r>
          </w:p>
        </w:tc>
        <w:tc>
          <w:tcPr>
            <w:tcW w:w="1312" w:type="pct"/>
            <w:noWrap w:val="0"/>
            <w:vAlign w:val="center"/>
          </w:tcPr>
          <w:p w14:paraId="29DFFEA1">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开标一览表</w:t>
            </w:r>
          </w:p>
        </w:tc>
        <w:tc>
          <w:tcPr>
            <w:tcW w:w="1185" w:type="pct"/>
            <w:noWrap w:val="0"/>
            <w:vAlign w:val="center"/>
          </w:tcPr>
          <w:p w14:paraId="749B14B0">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5BEF3409">
            <w:pPr>
              <w:adjustRightInd w:val="0"/>
              <w:snapToGrid w:val="0"/>
              <w:spacing w:line="420" w:lineRule="exact"/>
              <w:ind w:right="-11"/>
              <w:jc w:val="center"/>
              <w:rPr>
                <w:rFonts w:hint="eastAsia" w:ascii="宋体" w:hAnsi="宋体"/>
                <w:color w:val="auto"/>
                <w:sz w:val="24"/>
                <w:szCs w:val="24"/>
                <w:highlight w:val="none"/>
              </w:rPr>
            </w:pPr>
          </w:p>
        </w:tc>
        <w:tc>
          <w:tcPr>
            <w:tcW w:w="1686" w:type="pct"/>
            <w:noWrap w:val="0"/>
            <w:vAlign w:val="center"/>
          </w:tcPr>
          <w:p w14:paraId="2601320E">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第</w:t>
            </w:r>
            <w:r>
              <w:rPr>
                <w:rFonts w:hint="eastAsia" w:hAnsi="宋体"/>
                <w:color w:val="auto"/>
                <w:sz w:val="24"/>
                <w:szCs w:val="24"/>
                <w:highlight w:val="none"/>
                <w:lang w:val="en-US" w:eastAsia="zh-CN"/>
              </w:rPr>
              <w:t>六</w:t>
            </w:r>
            <w:r>
              <w:rPr>
                <w:rFonts w:hint="eastAsia" w:ascii="宋体" w:hAnsi="宋体"/>
                <w:color w:val="auto"/>
                <w:sz w:val="24"/>
                <w:szCs w:val="24"/>
                <w:highlight w:val="none"/>
              </w:rPr>
              <w:t>章投标文件格式一</w:t>
            </w:r>
          </w:p>
        </w:tc>
      </w:tr>
      <w:tr w14:paraId="043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0CB3E3AF">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6</w:t>
            </w:r>
          </w:p>
        </w:tc>
        <w:tc>
          <w:tcPr>
            <w:tcW w:w="1312" w:type="pct"/>
            <w:noWrap w:val="0"/>
            <w:vAlign w:val="center"/>
          </w:tcPr>
          <w:p w14:paraId="0E13F74A">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1185" w:type="pct"/>
            <w:noWrap w:val="0"/>
            <w:vAlign w:val="center"/>
          </w:tcPr>
          <w:p w14:paraId="38FFEE9D">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6E3CED2D">
            <w:pPr>
              <w:adjustRightInd w:val="0"/>
              <w:snapToGrid w:val="0"/>
              <w:spacing w:line="420" w:lineRule="exact"/>
              <w:ind w:right="-11"/>
              <w:jc w:val="center"/>
              <w:rPr>
                <w:rFonts w:hint="eastAsia" w:ascii="宋体" w:hAnsi="宋体"/>
                <w:color w:val="auto"/>
                <w:sz w:val="24"/>
                <w:szCs w:val="24"/>
                <w:highlight w:val="none"/>
              </w:rPr>
            </w:pPr>
          </w:p>
        </w:tc>
        <w:tc>
          <w:tcPr>
            <w:tcW w:w="1686" w:type="pct"/>
            <w:noWrap w:val="0"/>
            <w:vAlign w:val="center"/>
          </w:tcPr>
          <w:p w14:paraId="711BF10C">
            <w:pPr>
              <w:adjustRightInd w:val="0"/>
              <w:snapToGrid w:val="0"/>
              <w:spacing w:line="420" w:lineRule="exact"/>
              <w:ind w:right="-11"/>
              <w:jc w:val="center"/>
              <w:rPr>
                <w:rFonts w:hint="eastAsia" w:ascii="宋体" w:hAnsi="宋体"/>
                <w:color w:val="auto"/>
                <w:sz w:val="24"/>
                <w:szCs w:val="24"/>
                <w:highlight w:val="none"/>
              </w:rPr>
            </w:pPr>
          </w:p>
        </w:tc>
      </w:tr>
      <w:tr w14:paraId="01CF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3FF3106B">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7</w:t>
            </w:r>
          </w:p>
        </w:tc>
        <w:tc>
          <w:tcPr>
            <w:tcW w:w="1312" w:type="pct"/>
            <w:noWrap w:val="0"/>
            <w:vAlign w:val="center"/>
          </w:tcPr>
          <w:p w14:paraId="1C252DDB">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标书响应情况</w:t>
            </w:r>
          </w:p>
        </w:tc>
        <w:tc>
          <w:tcPr>
            <w:tcW w:w="1185" w:type="pct"/>
            <w:noWrap w:val="0"/>
            <w:vAlign w:val="center"/>
          </w:tcPr>
          <w:p w14:paraId="2048F9E6">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lang w:eastAsia="zh-CN"/>
              </w:rPr>
              <w:t>质量</w:t>
            </w:r>
            <w:r>
              <w:rPr>
                <w:rFonts w:hint="eastAsia" w:ascii="宋体" w:hAnsi="宋体"/>
                <w:color w:val="auto"/>
                <w:sz w:val="24"/>
                <w:szCs w:val="24"/>
                <w:highlight w:val="none"/>
              </w:rPr>
              <w:t>响应、</w:t>
            </w:r>
            <w:r>
              <w:rPr>
                <w:rFonts w:hint="eastAsia" w:ascii="宋体" w:hAnsi="宋体"/>
                <w:color w:val="auto"/>
                <w:sz w:val="24"/>
                <w:szCs w:val="24"/>
                <w:highlight w:val="none"/>
                <w:lang w:eastAsia="zh-CN"/>
              </w:rPr>
              <w:t>工期</w:t>
            </w:r>
            <w:r>
              <w:rPr>
                <w:rFonts w:hint="eastAsia" w:ascii="宋体" w:hAnsi="宋体"/>
                <w:color w:val="auto"/>
                <w:sz w:val="24"/>
                <w:szCs w:val="24"/>
                <w:highlight w:val="none"/>
              </w:rPr>
              <w:t>响应</w:t>
            </w:r>
          </w:p>
        </w:tc>
        <w:tc>
          <w:tcPr>
            <w:tcW w:w="418" w:type="pct"/>
            <w:noWrap w:val="0"/>
            <w:vAlign w:val="center"/>
          </w:tcPr>
          <w:p w14:paraId="1F847115">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1686" w:type="pct"/>
            <w:noWrap w:val="0"/>
            <w:vAlign w:val="center"/>
          </w:tcPr>
          <w:p w14:paraId="2328FC8B">
            <w:pPr>
              <w:adjustRightInd w:val="0"/>
              <w:snapToGrid w:val="0"/>
              <w:spacing w:line="360" w:lineRule="auto"/>
              <w:ind w:right="-10" w:rightChars="0"/>
              <w:jc w:val="center"/>
              <w:rPr>
                <w:rFonts w:hint="eastAsia" w:ascii="宋体" w:hAnsi="宋体"/>
                <w:color w:val="auto"/>
                <w:kern w:val="2"/>
                <w:sz w:val="24"/>
                <w:szCs w:val="24"/>
                <w:highlight w:val="none"/>
                <w:lang w:val="en-US" w:eastAsia="zh-CN" w:bidi="ar-SA"/>
              </w:rPr>
            </w:pPr>
          </w:p>
        </w:tc>
      </w:tr>
      <w:tr w14:paraId="67D7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96" w:type="pct"/>
            <w:noWrap w:val="0"/>
            <w:vAlign w:val="center"/>
          </w:tcPr>
          <w:p w14:paraId="55762586">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8</w:t>
            </w:r>
          </w:p>
        </w:tc>
        <w:tc>
          <w:tcPr>
            <w:tcW w:w="1312" w:type="pct"/>
            <w:noWrap w:val="0"/>
            <w:vAlign w:val="center"/>
          </w:tcPr>
          <w:p w14:paraId="689D10DF">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标书规范性</w:t>
            </w:r>
          </w:p>
        </w:tc>
        <w:tc>
          <w:tcPr>
            <w:tcW w:w="1185" w:type="pct"/>
            <w:noWrap w:val="0"/>
            <w:vAlign w:val="center"/>
          </w:tcPr>
          <w:p w14:paraId="57B49961">
            <w:pPr>
              <w:pStyle w:val="32"/>
              <w:pBdr>
                <w:bottom w:val="none" w:color="auto" w:sz="0" w:space="0"/>
              </w:pBdr>
              <w:tabs>
                <w:tab w:val="clear" w:pos="4153"/>
                <w:tab w:val="clear" w:pos="8306"/>
              </w:tabs>
              <w:adjustRightInd/>
              <w:spacing w:line="420" w:lineRule="exact"/>
              <w:ind w:right="-11" w:rightChars="0"/>
              <w:textAlignment w:val="auto"/>
              <w:rPr>
                <w:rFonts w:hint="default" w:ascii="宋体" w:hAnsi="宋体"/>
                <w:color w:val="auto"/>
                <w:kern w:val="2"/>
                <w:sz w:val="24"/>
                <w:szCs w:val="24"/>
                <w:highlight w:val="none"/>
                <w:lang w:val="en-US" w:eastAsia="zh-CN" w:bidi="ar-SA"/>
              </w:rPr>
            </w:pPr>
            <w:r>
              <w:rPr>
                <w:rFonts w:hint="eastAsia" w:ascii="宋体" w:hAnsi="宋体"/>
                <w:color w:val="auto"/>
                <w:szCs w:val="24"/>
                <w:highlight w:val="none"/>
                <w:lang w:val="en-US" w:eastAsia="zh-CN"/>
              </w:rPr>
              <w:t>无严重的编排混乱、内容不全或字迹模糊辨认不清、前后矛盾情况，对评标无实质性影响的。</w:t>
            </w:r>
          </w:p>
        </w:tc>
        <w:tc>
          <w:tcPr>
            <w:tcW w:w="418" w:type="pct"/>
            <w:noWrap w:val="0"/>
            <w:vAlign w:val="center"/>
          </w:tcPr>
          <w:p w14:paraId="0BB93FF7">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1686" w:type="pct"/>
            <w:noWrap w:val="0"/>
            <w:vAlign w:val="center"/>
          </w:tcPr>
          <w:p w14:paraId="02E6455C">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r>
      <w:tr w14:paraId="5D12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noWrap w:val="0"/>
            <w:vAlign w:val="center"/>
          </w:tcPr>
          <w:p w14:paraId="0FFD898D">
            <w:pPr>
              <w:adjustRightInd w:val="0"/>
              <w:snapToGrid w:val="0"/>
              <w:spacing w:line="360" w:lineRule="auto"/>
              <w:ind w:right="-10" w:rightChars="0"/>
              <w:jc w:val="center"/>
              <w:rPr>
                <w:rFonts w:hint="default" w:hAnsi="宋体"/>
                <w:color w:val="auto"/>
                <w:sz w:val="24"/>
                <w:szCs w:val="24"/>
                <w:highlight w:val="none"/>
                <w:lang w:val="en-US" w:eastAsia="zh-CN"/>
              </w:rPr>
            </w:pPr>
            <w:r>
              <w:rPr>
                <w:rFonts w:hint="eastAsia" w:hAnsi="宋体"/>
                <w:color w:val="auto"/>
                <w:sz w:val="24"/>
                <w:szCs w:val="24"/>
                <w:highlight w:val="none"/>
                <w:lang w:val="en-US" w:eastAsia="zh-CN"/>
              </w:rPr>
              <w:t>9</w:t>
            </w:r>
          </w:p>
        </w:tc>
        <w:tc>
          <w:tcPr>
            <w:tcW w:w="1312" w:type="pct"/>
            <w:noWrap w:val="0"/>
            <w:vAlign w:val="center"/>
          </w:tcPr>
          <w:p w14:paraId="39686EDA">
            <w:pPr>
              <w:spacing w:line="420" w:lineRule="exact"/>
              <w:ind w:right="-11" w:rightChars="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投标人资质</w:t>
            </w:r>
          </w:p>
        </w:tc>
        <w:tc>
          <w:tcPr>
            <w:tcW w:w="1185" w:type="pct"/>
            <w:noWrap w:val="0"/>
            <w:vAlign w:val="center"/>
          </w:tcPr>
          <w:p w14:paraId="048A729D">
            <w:pPr>
              <w:pStyle w:val="32"/>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szCs w:val="24"/>
                <w:highlight w:val="none"/>
                <w:lang w:val="en-US" w:eastAsia="zh-CN"/>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文件要求</w:t>
            </w:r>
          </w:p>
        </w:tc>
        <w:tc>
          <w:tcPr>
            <w:tcW w:w="418" w:type="pct"/>
            <w:noWrap w:val="0"/>
            <w:vAlign w:val="center"/>
          </w:tcPr>
          <w:p w14:paraId="7E3EC234">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1686" w:type="pct"/>
            <w:noWrap w:val="0"/>
            <w:vAlign w:val="center"/>
          </w:tcPr>
          <w:p w14:paraId="06484469">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 xml:space="preserve">投标人须具有以下资质之一： </w:t>
            </w:r>
          </w:p>
          <w:p w14:paraId="61C63E78">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（1）有效的《中华人民共和国特种设备生产许可证》，许可项目包括电梯安装（含修理），许可子项目须同时包含以下内容：1）曳引驱动乘客电梯、2）自动扶梯；</w:t>
            </w:r>
          </w:p>
          <w:p w14:paraId="02F0A91E">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（2）有效的《中华人民共和国特种设备生产许可证》，许可项目包括电梯制造（含修理），许可子项目须同时包含以下内容：1）曳引驱动乘客电梯、2）自动扶梯。</w:t>
            </w:r>
          </w:p>
        </w:tc>
      </w:tr>
      <w:tr w14:paraId="052B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49908C83">
            <w:pPr>
              <w:adjustRightInd w:val="0"/>
              <w:snapToGrid w:val="0"/>
              <w:spacing w:line="360" w:lineRule="auto"/>
              <w:ind w:right="-10"/>
              <w:rPr>
                <w:rFonts w:hint="eastAsia" w:ascii="宋体" w:hAnsi="宋体"/>
                <w:color w:val="auto"/>
                <w:sz w:val="24"/>
                <w:szCs w:val="24"/>
                <w:highlight w:val="none"/>
              </w:rPr>
            </w:pPr>
            <w:r>
              <w:rPr>
                <w:rFonts w:hint="eastAsia" w:ascii="宋体" w:hAnsi="宋体"/>
                <w:b/>
                <w:bCs w:val="0"/>
                <w:color w:val="auto"/>
                <w:sz w:val="24"/>
                <w:highlight w:val="none"/>
              </w:rPr>
              <w:t>初审指标通过标准：投标人必须通过初审表中的全部评审指标。</w:t>
            </w:r>
          </w:p>
        </w:tc>
      </w:tr>
    </w:tbl>
    <w:p w14:paraId="080C318B">
      <w:pPr>
        <w:keepNext w:val="0"/>
        <w:keepLines w:val="0"/>
        <w:pageBreakBefore w:val="0"/>
        <w:widowControl w:val="0"/>
        <w:kinsoku/>
        <w:wordWrap/>
        <w:overflowPunct/>
        <w:topLinePunct w:val="0"/>
        <w:autoSpaceDE/>
        <w:autoSpaceDN/>
        <w:bidi w:val="0"/>
        <w:adjustRightInd w:val="0"/>
        <w:snapToGrid w:val="0"/>
        <w:spacing w:line="360" w:lineRule="auto"/>
        <w:ind w:right="0" w:firstLine="422" w:firstLineChars="175"/>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 综合评分</w:t>
      </w:r>
    </w:p>
    <w:p w14:paraId="58B97F05">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2.2.1本项目综合评分满分为100 分，其中：技术资信分值占总分值的权重</w:t>
      </w:r>
    </w:p>
    <w:p w14:paraId="05485C30">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为</w:t>
      </w:r>
      <w:r>
        <w:rPr>
          <w:rFonts w:hint="eastAsia" w:ascii="宋体" w:hAnsi="宋体" w:eastAsia="宋体" w:cs="Times New Roman"/>
          <w:sz w:val="24"/>
          <w:u w:val="single"/>
          <w:lang w:val="en-US" w:eastAsia="zh-CN"/>
        </w:rPr>
        <w:t xml:space="preserve"> </w:t>
      </w:r>
      <w:r>
        <w:rPr>
          <w:rFonts w:hint="eastAsia" w:hAnsi="宋体" w:cs="Times New Roman"/>
          <w:sz w:val="24"/>
          <w:u w:val="single"/>
          <w:lang w:val="en-US" w:eastAsia="zh-CN"/>
        </w:rPr>
        <w:t xml:space="preserve">90 </w:t>
      </w:r>
      <w:r>
        <w:rPr>
          <w:rFonts w:hint="eastAsia" w:ascii="宋体" w:hAnsi="宋体" w:eastAsia="宋体" w:cs="Times New Roman"/>
          <w:sz w:val="24"/>
          <w:u w:val="single"/>
          <w:lang w:val="en-US" w:eastAsia="zh-CN"/>
        </w:rPr>
        <w:t>%</w:t>
      </w:r>
      <w:r>
        <w:rPr>
          <w:rFonts w:hint="eastAsia" w:ascii="宋体" w:hAnsi="宋体" w:eastAsia="宋体" w:cs="Times New Roman"/>
          <w:sz w:val="24"/>
          <w:lang w:val="en-US" w:eastAsia="zh-CN"/>
        </w:rPr>
        <w:t>，价格分值占总分值的权重为</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10</w:t>
      </w:r>
      <w:r>
        <w:rPr>
          <w:rFonts w:hint="eastAsia" w:ascii="宋体" w:hAnsi="宋体" w:eastAsia="宋体" w:cs="Times New Roman"/>
          <w:sz w:val="24"/>
          <w:u w:val="single"/>
          <w:lang w:val="en-US" w:eastAsia="zh-CN"/>
        </w:rPr>
        <w:t>%</w:t>
      </w:r>
      <w:r>
        <w:rPr>
          <w:rFonts w:hint="eastAsia" w:ascii="宋体" w:hAnsi="宋体" w:eastAsia="宋体" w:cs="Times New Roman"/>
          <w:sz w:val="24"/>
          <w:lang w:val="en-US" w:eastAsia="zh-CN"/>
        </w:rPr>
        <w:t>。</w:t>
      </w:r>
    </w:p>
    <w:p w14:paraId="45E3B070">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2.2.2 磋商小组按照下表对通过初审的所有投标人的响应文件进行综合评分，具体评分细则如下：</w:t>
      </w:r>
    </w:p>
    <w:p w14:paraId="458E385C">
      <w:pPr>
        <w:keepNext w:val="0"/>
        <w:keepLines w:val="0"/>
        <w:pageBreakBefore w:val="0"/>
        <w:widowControl w:val="0"/>
        <w:kinsoku/>
        <w:wordWrap/>
        <w:overflowPunct/>
        <w:topLinePunct w:val="0"/>
        <w:autoSpaceDE/>
        <w:autoSpaceDN/>
        <w:bidi w:val="0"/>
        <w:adjustRightInd w:val="0"/>
        <w:snapToGrid/>
        <w:spacing w:line="360" w:lineRule="auto"/>
        <w:ind w:right="0" w:firstLine="420" w:firstLineChars="175"/>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2.2.2.1技术资信分</w:t>
      </w:r>
    </w:p>
    <w:tbl>
      <w:tblPr>
        <w:tblStyle w:val="23"/>
        <w:tblW w:w="9645" w:type="dxa"/>
        <w:tblInd w:w="-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425"/>
        <w:gridCol w:w="5729"/>
        <w:gridCol w:w="1411"/>
      </w:tblGrid>
      <w:tr w14:paraId="28C8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45" w:type="dxa"/>
            <w:gridSpan w:val="4"/>
            <w:tcBorders>
              <w:top w:val="single" w:color="000000" w:sz="4" w:space="0"/>
              <w:left w:val="single" w:color="000000" w:sz="4" w:space="0"/>
              <w:bottom w:val="single" w:color="000000" w:sz="4" w:space="0"/>
              <w:right w:val="single" w:color="000000" w:sz="4" w:space="0"/>
            </w:tcBorders>
            <w:noWrap w:val="0"/>
            <w:vAlign w:val="top"/>
          </w:tcPr>
          <w:p w14:paraId="6B42B15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技术部分详细评审表</w:t>
            </w:r>
          </w:p>
        </w:tc>
      </w:tr>
      <w:tr w14:paraId="0006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top"/>
          </w:tcPr>
          <w:p w14:paraId="09E6132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top"/>
          </w:tcPr>
          <w:p w14:paraId="1B8A92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5729" w:type="dxa"/>
            <w:tcBorders>
              <w:top w:val="single" w:color="000000" w:sz="4" w:space="0"/>
              <w:left w:val="single" w:color="000000" w:sz="4" w:space="0"/>
              <w:bottom w:val="single" w:color="000000" w:sz="4" w:space="0"/>
              <w:right w:val="single" w:color="000000" w:sz="4" w:space="0"/>
            </w:tcBorders>
            <w:noWrap w:val="0"/>
            <w:vAlign w:val="top"/>
          </w:tcPr>
          <w:p w14:paraId="62DED14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指标描述</w:t>
            </w:r>
          </w:p>
        </w:tc>
        <w:tc>
          <w:tcPr>
            <w:tcW w:w="1411" w:type="dxa"/>
            <w:tcBorders>
              <w:top w:val="single" w:color="000000" w:sz="4" w:space="0"/>
              <w:left w:val="single" w:color="000000" w:sz="4" w:space="0"/>
              <w:bottom w:val="single" w:color="000000" w:sz="4" w:space="0"/>
              <w:right w:val="single" w:color="000000" w:sz="4" w:space="0"/>
            </w:tcBorders>
            <w:noWrap w:val="0"/>
            <w:vAlign w:val="top"/>
          </w:tcPr>
          <w:p w14:paraId="7E79C0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分值范围</w:t>
            </w:r>
          </w:p>
        </w:tc>
      </w:tr>
      <w:tr w14:paraId="7D5C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6"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4D9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31D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认证证书</w:t>
            </w:r>
          </w:p>
        </w:tc>
        <w:tc>
          <w:tcPr>
            <w:tcW w:w="5729" w:type="dxa"/>
            <w:tcBorders>
              <w:top w:val="single" w:color="000000" w:sz="4" w:space="0"/>
              <w:left w:val="single" w:color="000000" w:sz="4" w:space="0"/>
              <w:bottom w:val="single" w:color="000000" w:sz="4" w:space="0"/>
              <w:right w:val="single" w:color="000000" w:sz="4" w:space="0"/>
            </w:tcBorders>
            <w:noWrap w:val="0"/>
            <w:vAlign w:val="top"/>
          </w:tcPr>
          <w:p w14:paraId="12F6285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投标人具有经中国国家认证认可监督管理委 员会认证机构颁发有效的下列认证，每个认证得3分，满分9分：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质量管理体系认证；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环境管理体系认证；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职业健康安全管理体系认证；</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注：投标文件中提供全国认证认可信息公共服务平台认证查询截图。</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9796A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0-9分</w:t>
            </w:r>
          </w:p>
        </w:tc>
      </w:tr>
      <w:tr w14:paraId="5F7F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9"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408E64">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9C55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投标人业绩</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7DCEA8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2022年01月01日以来(以合同签订时间为准), 投标人在中华人民共和国境内(不含港澳台)具有单个合同中数量不少于</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台的电梯维保 (含免保)业绩，每提供1个得5分，本小项满分15分。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1.本项目对正在履约或履约完成的业绩均予以认可。投标文件中无须提供正在履约或履约完成的证明材料</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2.投标文件中提供业绩合同扫描件，若合同中 无法体现签订时间、服务内容、电梯数量等关 键评审因素的，须同时提供业主(合同甲方)证明等相关证明材料扫描件，否则不得分。</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28C062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0-15</w:t>
            </w:r>
            <w:r>
              <w:rPr>
                <w:rStyle w:val="35"/>
                <w:rFonts w:hint="eastAsia" w:asciiTheme="minorEastAsia" w:hAnsiTheme="minorEastAsia" w:eastAsiaTheme="minorEastAsia" w:cstheme="minorEastAsia"/>
                <w:b w:val="0"/>
                <w:bCs w:val="0"/>
                <w:sz w:val="24"/>
                <w:szCs w:val="24"/>
                <w:lang w:val="en-US" w:eastAsia="zh-CN" w:bidi="ar"/>
              </w:rPr>
              <w:t>分</w:t>
            </w:r>
          </w:p>
        </w:tc>
      </w:tr>
      <w:tr w14:paraId="53F2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04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13F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拟投入项目维保人员资质</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615452D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1.标人拟派入本项目的人员中具有机械工程相关专业(或机电工程相关专业)的中级及以上工程师职称的，每提供1人得5分，本项满分10分。</w:t>
            </w:r>
          </w:p>
          <w:p w14:paraId="1AE016B3">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2.投标人拟派入本项目的人员具有电梯修理证(T)或电梯机械安装维修证(T1)或电梯电气安装维修证(T2)的，每提供1人得1分，本项满分6分。 (本小项中同一人具有多个证书仅计算一次)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注：1、响应文件中提供上述人员名单及相关证书扫描件。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2、响应文件中提供投标人为上述人员缴纳的自 2025年</w:t>
            </w:r>
            <w:r>
              <w:rPr>
                <w:rFonts w:hint="eastAsia" w:ascii="宋体" w:hAnsi="宋体" w:cs="宋体"/>
                <w:b/>
                <w:bCs/>
                <w:i w:val="0"/>
                <w:iCs w:val="0"/>
                <w:color w:val="000000"/>
                <w:kern w:val="0"/>
                <w:sz w:val="24"/>
                <w:szCs w:val="24"/>
                <w:u w:val="none"/>
                <w:lang w:val="en-US" w:eastAsia="zh-CN" w:bidi="ar"/>
              </w:rPr>
              <w:t>7</w:t>
            </w:r>
            <w:r>
              <w:rPr>
                <w:rFonts w:hint="eastAsia" w:ascii="宋体" w:hAnsi="宋体" w:eastAsia="宋体" w:cs="宋体"/>
                <w:b/>
                <w:bCs/>
                <w:i w:val="0"/>
                <w:iCs w:val="0"/>
                <w:color w:val="000000"/>
                <w:kern w:val="0"/>
                <w:sz w:val="24"/>
                <w:szCs w:val="24"/>
                <w:u w:val="none"/>
                <w:lang w:val="en-US" w:eastAsia="zh-CN" w:bidi="ar"/>
              </w:rPr>
              <w:t>月1日以来任意一个月的社保证明材料(提供任意五险之一的社保缴纳证明即可), 社保证明形式详见投标人须知前附表，否则不予认可。</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3、同一人同时具有上述一、二两项证书的可以重复计算。</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97319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0-16分</w:t>
            </w:r>
          </w:p>
        </w:tc>
      </w:tr>
      <w:tr w14:paraId="29AA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29B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4D42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维保方案</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662594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根据各投标人电梯维保方案内容的合理性和可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操作性打分。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1.方案内容详实全面、合理性、可行性、科学性、针对性强的，得 7＜F≤10分；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2.方案内容详实性、合理性、可行性、科学性、针对性较强的，得 4＜F≤7分；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3.方案内容详实性、合理性、可行性、科学性、针对性一般的，得0＜F≤4分；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4.未提供的不得分。</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210D9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0-10分</w:t>
            </w:r>
          </w:p>
        </w:tc>
      </w:tr>
      <w:tr w14:paraId="640F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1A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7FED2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制度保障</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740F9B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根据电梯维保质量监管制度规范性打分。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1.制度内容全面、合理性、可行性、科学性、针对性强的，得7＜F≤10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2.制度内容详实性、合理性、可行性、科学性、针对性较强的，得 4＜F≤7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3.制度内容详实性、合理性、可行性、科学性、针对性一般的，得 0＜F≤4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4.未提供的不得分。</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5E1135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0-10分</w:t>
            </w:r>
          </w:p>
        </w:tc>
      </w:tr>
      <w:tr w14:paraId="4AE3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7B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1AC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服务保障</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7FCB5D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针对本电梯维保项目提出合理的保障办法。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1.方案内容详实全面、合理性、可行性、科学性、针对性强的，得 7＜F≤10分；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2.方案内容详实性、合理性、可行性、科学性、针对性较强的，得 4＜F≤7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3.方案内容详实性、合理性、可行性、科学性、针对性一般的，得 0＜F≤4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4.未提供的不得分。</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99052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0-10分</w:t>
            </w:r>
          </w:p>
        </w:tc>
      </w:tr>
      <w:tr w14:paraId="088F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F64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EB6BE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应急预案</w:t>
            </w:r>
          </w:p>
        </w:tc>
        <w:tc>
          <w:tcPr>
            <w:tcW w:w="5729" w:type="dxa"/>
            <w:tcBorders>
              <w:top w:val="single" w:color="000000" w:sz="4" w:space="0"/>
              <w:left w:val="single" w:color="000000" w:sz="4" w:space="0"/>
              <w:bottom w:val="single" w:color="000000" w:sz="4" w:space="0"/>
              <w:right w:val="single" w:color="000000" w:sz="4" w:space="0"/>
            </w:tcBorders>
            <w:noWrap w:val="0"/>
            <w:vAlign w:val="center"/>
          </w:tcPr>
          <w:p w14:paraId="4920B1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针对本电梯维保项目提出合理的应急配合预案。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1.方案内容详实全面、合理性、可行性、科学性、针对性强的，得 7＜F≤10分；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2.方案内容详实性、合理性、可行性、科学性、针对性较强的，得4＜F≤7分；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3.方案内容详实性、合理性、可行性、科学性、针对性一般的，得 0＜F≤4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4.未提供的不得分。</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54687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0-10分</w:t>
            </w:r>
          </w:p>
        </w:tc>
      </w:tr>
      <w:tr w14:paraId="56AB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1080" w:type="dxa"/>
            <w:tcBorders>
              <w:top w:val="single" w:color="000000" w:sz="4" w:space="0"/>
              <w:left w:val="single" w:color="000000" w:sz="4" w:space="0"/>
              <w:bottom w:val="single" w:color="000000" w:sz="4" w:space="0"/>
              <w:right w:val="single" w:color="000000" w:sz="4" w:space="0"/>
            </w:tcBorders>
            <w:noWrap w:val="0"/>
            <w:vAlign w:val="top"/>
          </w:tcPr>
          <w:p w14:paraId="51CE2008">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p>
          <w:p w14:paraId="2D4ECED2">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p>
          <w:p w14:paraId="688B3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noWrap w:val="0"/>
            <w:vAlign w:val="top"/>
          </w:tcPr>
          <w:p w14:paraId="3E4C8A0C">
            <w:pPr>
              <w:jc w:val="both"/>
              <w:rPr>
                <w:rFonts w:hint="eastAsia" w:ascii="宋体" w:hAnsi="宋体" w:eastAsia="宋体" w:cs="宋体"/>
                <w:i w:val="0"/>
                <w:iCs w:val="0"/>
                <w:color w:val="000000"/>
                <w:kern w:val="0"/>
                <w:sz w:val="24"/>
                <w:szCs w:val="24"/>
                <w:u w:val="none"/>
                <w:lang w:val="en-US" w:eastAsia="zh-CN" w:bidi="ar"/>
              </w:rPr>
            </w:pPr>
          </w:p>
          <w:p w14:paraId="5D2CF4D7">
            <w:pPr>
              <w:jc w:val="both"/>
              <w:rPr>
                <w:rFonts w:hint="eastAsia" w:ascii="宋体" w:hAnsi="宋体" w:eastAsia="宋体" w:cs="宋体"/>
                <w:i w:val="0"/>
                <w:iCs w:val="0"/>
                <w:color w:val="000000"/>
                <w:kern w:val="0"/>
                <w:sz w:val="24"/>
                <w:szCs w:val="24"/>
                <w:u w:val="none"/>
                <w:lang w:val="en-US" w:eastAsia="zh-CN" w:bidi="ar"/>
              </w:rPr>
            </w:pPr>
          </w:p>
          <w:p w14:paraId="4C3E5895">
            <w:pPr>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人员培训制度</w:t>
            </w:r>
          </w:p>
        </w:tc>
        <w:tc>
          <w:tcPr>
            <w:tcW w:w="5729" w:type="dxa"/>
            <w:tcBorders>
              <w:top w:val="single" w:color="000000" w:sz="4" w:space="0"/>
              <w:left w:val="single" w:color="000000" w:sz="4" w:space="0"/>
              <w:bottom w:val="single" w:color="000000" w:sz="4" w:space="0"/>
              <w:right w:val="single" w:color="000000" w:sz="4" w:space="0"/>
            </w:tcBorders>
            <w:noWrap w:val="0"/>
            <w:vAlign w:val="top"/>
          </w:tcPr>
          <w:p w14:paraId="38F3FF0A">
            <w:p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根据投标人提供的公司人员培训制度科学性、合理性、可实施性等进行评分。</w:t>
            </w:r>
          </w:p>
          <w:p w14:paraId="58CA979B">
            <w:pPr>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1.制度内容全面、合理性、可行性、科学性、针对性强的，得7＜F≤10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2.制度内容详实性、合理性、可行性、科学性、针对性较强的，得 4＜F≤7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3.制度内容详实性、合理性、可行性、科学性、针对性一般的，得 0＜F≤4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4.未提供的不得分。</w:t>
            </w:r>
          </w:p>
        </w:tc>
        <w:tc>
          <w:tcPr>
            <w:tcW w:w="1411" w:type="dxa"/>
            <w:tcBorders>
              <w:top w:val="single" w:color="000000" w:sz="4" w:space="0"/>
              <w:left w:val="single" w:color="000000" w:sz="4" w:space="0"/>
              <w:bottom w:val="single" w:color="000000" w:sz="4" w:space="0"/>
              <w:right w:val="single" w:color="000000" w:sz="4" w:space="0"/>
            </w:tcBorders>
            <w:noWrap w:val="0"/>
            <w:vAlign w:val="top"/>
          </w:tcPr>
          <w:p w14:paraId="45B2ED7B">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p w14:paraId="1E85D1E9">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p w14:paraId="344659A6">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p w14:paraId="5F247BE9">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0-10分</w:t>
            </w:r>
          </w:p>
        </w:tc>
      </w:tr>
      <w:tr w14:paraId="49AE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single" w:color="000000" w:sz="4" w:space="0"/>
              <w:left w:val="single" w:color="000000" w:sz="4" w:space="0"/>
              <w:bottom w:val="single" w:color="000000" w:sz="4" w:space="0"/>
              <w:right w:val="single" w:color="000000" w:sz="4" w:space="0"/>
            </w:tcBorders>
            <w:noWrap w:val="0"/>
            <w:vAlign w:val="top"/>
          </w:tcPr>
          <w:p w14:paraId="26D4E4BA">
            <w:pPr>
              <w:jc w:val="both"/>
              <w:rPr>
                <w:rFonts w:hint="default" w:ascii="Arial" w:hAnsi="Arial" w:eastAsia="宋体" w:cs="Arial"/>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top"/>
          </w:tcPr>
          <w:p w14:paraId="2C25BE6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729" w:type="dxa"/>
            <w:tcBorders>
              <w:top w:val="single" w:color="000000" w:sz="4" w:space="0"/>
              <w:left w:val="single" w:color="000000" w:sz="4" w:space="0"/>
              <w:bottom w:val="single" w:color="000000" w:sz="4" w:space="0"/>
              <w:right w:val="single" w:color="000000" w:sz="4" w:space="0"/>
            </w:tcBorders>
            <w:noWrap w:val="0"/>
            <w:vAlign w:val="top"/>
          </w:tcPr>
          <w:p w14:paraId="00EF7493">
            <w:pPr>
              <w:jc w:val="both"/>
              <w:rPr>
                <w:rFonts w:hint="default" w:ascii="Arial" w:hAnsi="Arial" w:eastAsia="宋体" w:cs="Arial"/>
                <w:i w:val="0"/>
                <w:iCs w:val="0"/>
                <w:color w:val="000000"/>
                <w:sz w:val="21"/>
                <w:szCs w:val="21"/>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top"/>
          </w:tcPr>
          <w:p w14:paraId="682E4B4A">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90</w:t>
            </w:r>
            <w:r>
              <w:rPr>
                <w:rStyle w:val="42"/>
                <w:rFonts w:hint="eastAsia" w:asciiTheme="minorEastAsia" w:hAnsiTheme="minorEastAsia" w:eastAsiaTheme="minorEastAsia" w:cstheme="minorEastAsia"/>
                <w:b w:val="0"/>
                <w:bCs w:val="0"/>
                <w:sz w:val="24"/>
                <w:szCs w:val="24"/>
                <w:lang w:val="en-US" w:eastAsia="zh-CN" w:bidi="ar"/>
              </w:rPr>
              <w:t xml:space="preserve"> </w:t>
            </w:r>
            <w:r>
              <w:rPr>
                <w:rStyle w:val="36"/>
                <w:rFonts w:hint="eastAsia" w:asciiTheme="minorEastAsia" w:hAnsiTheme="minorEastAsia" w:eastAsiaTheme="minorEastAsia" w:cstheme="minorEastAsia"/>
                <w:b w:val="0"/>
                <w:bCs w:val="0"/>
                <w:sz w:val="24"/>
                <w:szCs w:val="24"/>
                <w:lang w:val="en-US" w:eastAsia="zh-CN" w:bidi="ar"/>
              </w:rPr>
              <w:t>分</w:t>
            </w:r>
          </w:p>
        </w:tc>
      </w:tr>
    </w:tbl>
    <w:p w14:paraId="15270705">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b w:val="0"/>
          <w:bCs/>
          <w:sz w:val="24"/>
          <w:highlight w:val="none"/>
          <w:lang w:eastAsia="zh-CN"/>
        </w:rPr>
      </w:pPr>
      <w:r>
        <w:rPr>
          <w:rFonts w:hint="eastAsia" w:ascii="宋体" w:hAnsi="宋体"/>
          <w:b w:val="0"/>
          <w:bCs/>
          <w:sz w:val="24"/>
          <w:highlight w:val="none"/>
          <w:lang w:val="en-US" w:eastAsia="zh-CN"/>
        </w:rPr>
        <w:t>2.2.2.2</w:t>
      </w:r>
      <w:r>
        <w:rPr>
          <w:rFonts w:hint="eastAsia" w:ascii="宋体" w:hAnsi="宋体"/>
          <w:b w:val="0"/>
          <w:bCs/>
          <w:sz w:val="24"/>
          <w:highlight w:val="none"/>
        </w:rPr>
        <w:t>磋商</w:t>
      </w:r>
      <w:r>
        <w:rPr>
          <w:rFonts w:hint="eastAsia" w:ascii="宋体" w:hAnsi="宋体"/>
          <w:b w:val="0"/>
          <w:bCs/>
          <w:sz w:val="24"/>
          <w:highlight w:val="none"/>
          <w:lang w:eastAsia="zh-CN"/>
        </w:rPr>
        <w:t>报价</w:t>
      </w:r>
    </w:p>
    <w:p w14:paraId="7FD5B166">
      <w:pPr>
        <w:adjustRightInd w:val="0"/>
        <w:snapToGrid w:val="0"/>
        <w:spacing w:line="360" w:lineRule="auto"/>
        <w:ind w:right="-10" w:firstLine="420" w:firstLineChars="175"/>
        <w:rPr>
          <w:rFonts w:hint="eastAsia" w:ascii="宋体" w:hAnsi="宋体" w:eastAsia="宋体" w:cs="Times New Roman"/>
          <w:sz w:val="24"/>
          <w:highlight w:val="none"/>
          <w:lang w:val="en-US" w:eastAsia="zh-CN"/>
        </w:rPr>
      </w:pPr>
      <w:r>
        <w:rPr>
          <w:rFonts w:hint="eastAsia"/>
          <w:sz w:val="24"/>
          <w:highlight w:val="none"/>
          <w:lang w:eastAsia="zh-CN"/>
        </w:rPr>
        <w:t>因开标硬件设施限制，本次磋商，投标人只需一次报价（以开标一览表中报价为准），无需进行二轮及多轮报价，</w:t>
      </w:r>
      <w:r>
        <w:rPr>
          <w:rFonts w:hint="eastAsia" w:ascii="宋体" w:hAnsi="宋体"/>
          <w:bCs/>
          <w:sz w:val="24"/>
          <w:highlight w:val="none"/>
        </w:rPr>
        <w:t>投标人最终</w:t>
      </w:r>
      <w:r>
        <w:rPr>
          <w:rFonts w:hint="eastAsia" w:ascii="宋体" w:hAnsi="宋体"/>
          <w:bCs/>
          <w:sz w:val="24"/>
          <w:highlight w:val="none"/>
          <w:lang w:eastAsia="zh-CN"/>
        </w:rPr>
        <w:t>评审</w:t>
      </w:r>
      <w:r>
        <w:rPr>
          <w:rFonts w:hint="eastAsia" w:ascii="宋体" w:hAnsi="宋体"/>
          <w:bCs/>
          <w:sz w:val="24"/>
          <w:highlight w:val="none"/>
        </w:rPr>
        <w:t>报价是签订合同的依据。</w:t>
      </w:r>
    </w:p>
    <w:p w14:paraId="0C0ED9F4">
      <w:pPr>
        <w:adjustRightInd w:val="0"/>
        <w:snapToGrid w:val="0"/>
        <w:spacing w:line="360" w:lineRule="auto"/>
        <w:ind w:right="-10" w:firstLine="420" w:firstLineChars="175"/>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2.2.2.3价格分值计算：</w:t>
      </w:r>
    </w:p>
    <w:p w14:paraId="0776E5A6">
      <w:pPr>
        <w:adjustRightInd w:val="0"/>
        <w:snapToGrid w:val="0"/>
        <w:spacing w:line="360" w:lineRule="auto"/>
        <w:ind w:right="-10" w:firstLine="420" w:firstLineChars="175"/>
        <w:rPr>
          <w:rFonts w:hint="eastAsia" w:ascii="宋体" w:hAnsi="宋体"/>
          <w:bCs/>
          <w:color w:val="auto"/>
          <w:sz w:val="24"/>
          <w:highlight w:val="none"/>
        </w:rPr>
      </w:pPr>
      <w:r>
        <w:rPr>
          <w:rFonts w:hint="eastAsia" w:ascii="宋体" w:hAnsi="宋体"/>
          <w:bCs/>
          <w:color w:val="auto"/>
          <w:sz w:val="24"/>
          <w:highlight w:val="none"/>
        </w:rPr>
        <w:t>依据通过初审的有效投标人名单，其投标人的</w:t>
      </w:r>
      <w:r>
        <w:rPr>
          <w:rFonts w:hint="eastAsia" w:ascii="宋体" w:hAnsi="宋体"/>
          <w:bCs/>
          <w:color w:val="auto"/>
          <w:sz w:val="24"/>
          <w:highlight w:val="none"/>
          <w:lang w:eastAsia="zh-CN"/>
        </w:rPr>
        <w:t>价格分值</w:t>
      </w:r>
      <w:r>
        <w:rPr>
          <w:rFonts w:hint="eastAsia" w:ascii="宋体" w:hAnsi="宋体"/>
          <w:bCs/>
          <w:color w:val="auto"/>
          <w:sz w:val="24"/>
          <w:highlight w:val="none"/>
        </w:rPr>
        <w:t>得分按照以下方式计算：</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0"/>
        <w:gridCol w:w="5152"/>
        <w:gridCol w:w="862"/>
      </w:tblGrid>
      <w:tr w14:paraId="0057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top"/>
          </w:tcPr>
          <w:p w14:paraId="136B0604">
            <w:pPr>
              <w:spacing w:line="360" w:lineRule="auto"/>
              <w:jc w:val="center"/>
              <w:rPr>
                <w:rFonts w:hint="default" w:ascii="宋体" w:hAnsi="宋体" w:eastAsia="宋体" w:cs="Times New Roman"/>
                <w:bCs/>
                <w:color w:val="auto"/>
                <w:sz w:val="24"/>
                <w:highlight w:val="none"/>
                <w:lang w:val="en-US" w:eastAsia="zh-CN"/>
              </w:rPr>
            </w:pPr>
            <w:r>
              <w:rPr>
                <w:rFonts w:hint="eastAsia" w:ascii="宋体" w:hAnsi="宋体" w:eastAsia="宋体" w:cs="Times New Roman"/>
                <w:b/>
                <w:bCs w:val="0"/>
                <w:color w:val="auto"/>
                <w:sz w:val="24"/>
                <w:highlight w:val="none"/>
                <w:lang w:val="en-US" w:eastAsia="zh-CN"/>
              </w:rPr>
              <w:t>商务部分</w:t>
            </w:r>
          </w:p>
        </w:tc>
        <w:tc>
          <w:tcPr>
            <w:tcW w:w="1416" w:type="dxa"/>
            <w:noWrap w:val="0"/>
            <w:vAlign w:val="top"/>
          </w:tcPr>
          <w:p w14:paraId="6A57F3B1">
            <w:pPr>
              <w:spacing w:line="360" w:lineRule="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最终投标报价</w:t>
            </w:r>
          </w:p>
          <w:p w14:paraId="47DA6ADD">
            <w:pPr>
              <w:spacing w:line="360" w:lineRule="auto"/>
              <w:ind w:left="143" w:leftChars="68" w:firstLine="480" w:firstLineChars="200"/>
              <w:rPr>
                <w:rFonts w:hint="eastAsia" w:ascii="宋体" w:hAnsi="宋体" w:eastAsia="宋体" w:cs="Times New Roman"/>
                <w:bCs/>
                <w:color w:val="auto"/>
                <w:sz w:val="24"/>
                <w:highlight w:val="none"/>
              </w:rPr>
            </w:pPr>
          </w:p>
        </w:tc>
        <w:tc>
          <w:tcPr>
            <w:tcW w:w="5867" w:type="dxa"/>
            <w:noWrap w:val="0"/>
            <w:vAlign w:val="top"/>
          </w:tcPr>
          <w:p w14:paraId="441C52BA">
            <w:pPr>
              <w:spacing w:line="360" w:lineRule="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价格分统一采用有效最低价法，即满足磋商文件要求且最终报价最低的投标报价为评标基准价，其价格分为满分。其他投标人的价格分统一按照下列公式计算：投标报价得分＝（评标基准价/最终报价）×</w:t>
            </w:r>
            <w:r>
              <w:rPr>
                <w:rFonts w:hint="eastAsia" w:ascii="宋体" w:hAnsi="宋体" w:cs="Times New Roman"/>
                <w:bCs/>
                <w:color w:val="auto"/>
                <w:sz w:val="24"/>
                <w:highlight w:val="none"/>
                <w:lang w:val="en-US" w:eastAsia="zh-CN"/>
              </w:rPr>
              <w:t>1</w:t>
            </w:r>
            <w:r>
              <w:rPr>
                <w:rFonts w:hint="eastAsia" w:ascii="宋体" w:hAnsi="宋体" w:eastAsia="宋体" w:cs="Times New Roman"/>
                <w:bCs/>
                <w:color w:val="auto"/>
                <w:sz w:val="24"/>
                <w:highlight w:val="none"/>
                <w:lang w:val="en-US" w:eastAsia="zh-CN"/>
              </w:rPr>
              <w:t>0％×100</w:t>
            </w:r>
          </w:p>
        </w:tc>
        <w:tc>
          <w:tcPr>
            <w:tcW w:w="888" w:type="dxa"/>
            <w:noWrap w:val="0"/>
            <w:vAlign w:val="top"/>
          </w:tcPr>
          <w:p w14:paraId="49200DED">
            <w:pPr>
              <w:spacing w:line="360" w:lineRule="auto"/>
              <w:jc w:val="center"/>
              <w:rPr>
                <w:rFonts w:hint="default" w:ascii="宋体" w:hAnsi="宋体" w:eastAsia="宋体" w:cs="Times New Roman"/>
                <w:bCs/>
                <w:color w:val="auto"/>
                <w:sz w:val="24"/>
                <w:highlight w:val="none"/>
                <w:lang w:val="en-US" w:eastAsia="zh-CN"/>
              </w:rPr>
            </w:pPr>
            <w:r>
              <w:rPr>
                <w:rFonts w:hint="eastAsia" w:ascii="宋体" w:hAnsi="宋体" w:eastAsia="宋体" w:cs="Times New Roman"/>
                <w:b/>
                <w:bCs w:val="0"/>
                <w:color w:val="auto"/>
                <w:sz w:val="24"/>
                <w:highlight w:val="none"/>
                <w:lang w:val="en-US" w:eastAsia="zh-CN"/>
              </w:rPr>
              <w:t>0-</w:t>
            </w:r>
            <w:r>
              <w:rPr>
                <w:rFonts w:hint="eastAsia" w:ascii="宋体" w:hAnsi="宋体" w:cs="Times New Roman"/>
                <w:b/>
                <w:bCs w:val="0"/>
                <w:color w:val="auto"/>
                <w:sz w:val="24"/>
                <w:highlight w:val="none"/>
                <w:u w:val="single"/>
                <w:lang w:val="en-US" w:eastAsia="zh-CN"/>
              </w:rPr>
              <w:t>1</w:t>
            </w:r>
            <w:r>
              <w:rPr>
                <w:rFonts w:hint="eastAsia" w:ascii="宋体" w:hAnsi="宋体" w:eastAsia="宋体" w:cs="Times New Roman"/>
                <w:b/>
                <w:bCs w:val="0"/>
                <w:color w:val="auto"/>
                <w:sz w:val="24"/>
                <w:highlight w:val="none"/>
                <w:u w:val="single"/>
                <w:lang w:val="en-US" w:eastAsia="zh-CN"/>
              </w:rPr>
              <w:t>0</w:t>
            </w:r>
            <w:r>
              <w:rPr>
                <w:rFonts w:hint="eastAsia" w:ascii="宋体" w:hAnsi="宋体" w:eastAsia="宋体" w:cs="Times New Roman"/>
                <w:b/>
                <w:bCs w:val="0"/>
                <w:color w:val="auto"/>
                <w:sz w:val="24"/>
                <w:highlight w:val="none"/>
                <w:lang w:val="en-US" w:eastAsia="zh-CN"/>
              </w:rPr>
              <w:t>分</w:t>
            </w:r>
          </w:p>
        </w:tc>
      </w:tr>
    </w:tbl>
    <w:p w14:paraId="51EF9B53">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default" w:ascii="宋体" w:hAnsi="宋体"/>
          <w:b w:val="0"/>
          <w:bCs/>
          <w:sz w:val="24"/>
          <w:highlight w:val="none"/>
          <w:lang w:val="en-US" w:eastAsia="zh-CN"/>
        </w:rPr>
      </w:pPr>
      <w:r>
        <w:rPr>
          <w:rFonts w:hint="eastAsia" w:ascii="宋体" w:hAnsi="宋体"/>
          <w:b w:val="0"/>
          <w:bCs/>
          <w:sz w:val="24"/>
          <w:highlight w:val="none"/>
          <w:lang w:val="en-US" w:eastAsia="zh-CN"/>
        </w:rPr>
        <w:t>2.2.3分值汇总</w:t>
      </w:r>
    </w:p>
    <w:p w14:paraId="213F5EFE">
      <w:pPr>
        <w:numPr>
          <w:ilvl w:val="0"/>
          <w:numId w:val="14"/>
        </w:numPr>
        <w:adjustRightInd w:val="0"/>
        <w:snapToGrid w:val="0"/>
        <w:spacing w:line="360" w:lineRule="auto"/>
        <w:ind w:right="-10" w:firstLine="420" w:firstLineChars="175"/>
        <w:rPr>
          <w:rFonts w:hint="eastAsia" w:ascii="宋体" w:hAnsi="宋体"/>
          <w:bCs/>
          <w:sz w:val="24"/>
        </w:rPr>
      </w:pPr>
      <w:r>
        <w:rPr>
          <w:rFonts w:hint="eastAsia" w:ascii="宋体" w:hAnsi="宋体" w:eastAsia="宋体" w:cs="Times New Roman"/>
          <w:b w:val="0"/>
          <w:bCs/>
          <w:color w:val="auto"/>
          <w:sz w:val="24"/>
          <w:szCs w:val="20"/>
          <w:highlight w:val="none"/>
          <w:lang w:val="en-US" w:eastAsia="zh-CN" w:bidi="ar-SA"/>
        </w:rPr>
        <w:t>磋商小组各成员按照本章2.2.2.1评分标准独立对通过初审的响应文件进行技术资信分评价、打分。</w:t>
      </w:r>
      <w:r>
        <w:rPr>
          <w:rFonts w:hint="eastAsia" w:ascii="宋体" w:hAnsi="宋体"/>
          <w:kern w:val="0"/>
          <w:sz w:val="24"/>
        </w:rPr>
        <w:t>磋商小组</w:t>
      </w:r>
      <w:r>
        <w:rPr>
          <w:rFonts w:hint="eastAsia" w:ascii="宋体" w:hAnsi="宋体"/>
          <w:bCs/>
          <w:sz w:val="24"/>
        </w:rPr>
        <w:t>各成员每一项的打分取平均值，得到该投标人该分值项的得分。将投标人每个分值项得分进行汇总，得到该投标人的技术部分得分（四舍五入保留至小数点后两位数）。</w:t>
      </w:r>
    </w:p>
    <w:p w14:paraId="0107FFDB">
      <w:pPr>
        <w:numPr>
          <w:ilvl w:val="0"/>
          <w:numId w:val="14"/>
        </w:numPr>
        <w:adjustRightInd w:val="0"/>
        <w:snapToGrid w:val="0"/>
        <w:spacing w:line="360" w:lineRule="auto"/>
        <w:ind w:right="-10" w:firstLine="420" w:firstLineChars="175"/>
        <w:rPr>
          <w:rFonts w:hint="eastAsia" w:ascii="宋体" w:hAnsi="宋体" w:eastAsia="宋体" w:cs="Times New Roman"/>
          <w:b w:val="0"/>
          <w:bCs/>
          <w:color w:val="auto"/>
          <w:sz w:val="24"/>
          <w:szCs w:val="20"/>
          <w:highlight w:val="none"/>
          <w:lang w:val="en-US" w:eastAsia="zh-CN" w:bidi="ar-SA"/>
        </w:rPr>
      </w:pPr>
      <w:r>
        <w:rPr>
          <w:rFonts w:hint="eastAsia" w:ascii="宋体" w:hAnsi="宋体" w:eastAsia="宋体" w:cs="Times New Roman"/>
          <w:b w:val="0"/>
          <w:bCs/>
          <w:color w:val="auto"/>
          <w:sz w:val="24"/>
          <w:szCs w:val="20"/>
          <w:highlight w:val="none"/>
          <w:lang w:val="en-US" w:eastAsia="zh-CN" w:bidi="ar-SA"/>
        </w:rPr>
        <w:t>将每个投标人的技术资信分加上根据上述标准计算出的价格分，即为该投标人的综合总得分。</w:t>
      </w:r>
    </w:p>
    <w:p w14:paraId="69EB29E8">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lang w:val="en-US" w:eastAsia="zh-CN"/>
        </w:rPr>
        <w:t>2.3</w:t>
      </w:r>
      <w:r>
        <w:rPr>
          <w:rFonts w:hint="eastAsia" w:ascii="宋体" w:hAnsi="宋体"/>
          <w:b/>
          <w:color w:val="auto"/>
          <w:sz w:val="24"/>
          <w:szCs w:val="24"/>
          <w:highlight w:val="none"/>
        </w:rPr>
        <w:t>确定中标候选人</w:t>
      </w:r>
    </w:p>
    <w:bookmarkEnd w:id="44"/>
    <w:p w14:paraId="2B9075BA">
      <w:pPr>
        <w:adjustRightInd w:val="0"/>
        <w:snapToGrid w:val="0"/>
        <w:spacing w:line="360" w:lineRule="auto"/>
        <w:ind w:right="-10" w:firstLine="420" w:firstLineChars="175"/>
        <w:rPr>
          <w:rFonts w:ascii="宋体" w:hAnsi="宋体"/>
          <w:bCs/>
          <w:sz w:val="24"/>
        </w:rPr>
      </w:pPr>
      <w:bookmarkStart w:id="45" w:name="_Toc28799375"/>
      <w:r>
        <w:rPr>
          <w:rFonts w:hint="eastAsia" w:ascii="宋体" w:hAnsi="宋体"/>
          <w:bCs/>
          <w:sz w:val="24"/>
          <w:lang w:val="en-US" w:eastAsia="zh-CN"/>
        </w:rPr>
        <w:t>2.3.1</w:t>
      </w:r>
      <w:r>
        <w:rPr>
          <w:rFonts w:hint="eastAsia" w:ascii="宋体" w:hAnsi="宋体"/>
          <w:bCs/>
          <w:sz w:val="24"/>
        </w:rPr>
        <w:t>按照有效投标人</w:t>
      </w:r>
      <w:r>
        <w:rPr>
          <w:rFonts w:hint="eastAsia" w:ascii="宋体" w:hAnsi="宋体"/>
          <w:bCs/>
          <w:sz w:val="24"/>
          <w:lang w:eastAsia="zh-CN"/>
        </w:rPr>
        <w:t>综合总得分</w:t>
      </w:r>
      <w:r>
        <w:rPr>
          <w:rFonts w:hint="eastAsia" w:ascii="宋体" w:hAnsi="宋体"/>
          <w:bCs/>
          <w:sz w:val="24"/>
        </w:rPr>
        <w:t>由高到低排出中标候选人。</w:t>
      </w:r>
    </w:p>
    <w:p w14:paraId="2DCBB7FA">
      <w:pPr>
        <w:adjustRightInd w:val="0"/>
        <w:snapToGrid w:val="0"/>
        <w:spacing w:line="360" w:lineRule="auto"/>
        <w:ind w:right="-10" w:firstLine="420" w:firstLineChars="175"/>
        <w:rPr>
          <w:rFonts w:ascii="宋体" w:hAnsi="宋体"/>
          <w:bCs/>
          <w:sz w:val="24"/>
        </w:rPr>
      </w:pPr>
      <w:r>
        <w:rPr>
          <w:rFonts w:hint="eastAsia" w:ascii="宋体" w:hAnsi="宋体"/>
          <w:bCs/>
          <w:sz w:val="24"/>
        </w:rPr>
        <w:t>最终得分相同的，按技术部分得分由高到低顺序排序。技术部分得分及最终得分均相同的，</w:t>
      </w:r>
      <w:bookmarkStart w:id="46" w:name="_Hlk514735510"/>
      <w:r>
        <w:rPr>
          <w:rFonts w:hint="eastAsia" w:ascii="宋体" w:hAnsi="宋体"/>
          <w:bCs/>
          <w:sz w:val="24"/>
        </w:rPr>
        <w:t>则采取磋商小组抽签方式确定其前后次序。</w:t>
      </w:r>
      <w:bookmarkEnd w:id="46"/>
    </w:p>
    <w:p w14:paraId="021D199D">
      <w:pPr>
        <w:adjustRightInd w:val="0"/>
        <w:snapToGrid w:val="0"/>
        <w:spacing w:line="360" w:lineRule="auto"/>
        <w:ind w:right="-10" w:firstLine="482" w:firstLineChars="200"/>
        <w:rPr>
          <w:rFonts w:hint="eastAsia" w:ascii="宋体" w:hAnsi="宋体"/>
          <w:sz w:val="24"/>
        </w:rPr>
      </w:pPr>
      <w:r>
        <w:rPr>
          <w:rFonts w:hint="eastAsia" w:ascii="宋体" w:hAnsi="宋体"/>
          <w:b/>
          <w:sz w:val="24"/>
          <w:lang w:val="en-US" w:eastAsia="zh-CN"/>
        </w:rPr>
        <w:t>2.4</w:t>
      </w:r>
      <w:r>
        <w:rPr>
          <w:rFonts w:hint="eastAsia" w:ascii="宋体" w:hAnsi="宋体"/>
          <w:sz w:val="24"/>
        </w:rPr>
        <w:t xml:space="preserve"> 在评审过程中，磋商小组发现投标人的报价或者某些分项报价可能低于成本或者高于磋商文件设定的最高投标限价的，磋商小组将以</w:t>
      </w:r>
      <w:r>
        <w:rPr>
          <w:rFonts w:hint="eastAsia" w:ascii="宋体" w:hAnsi="宋体"/>
          <w:sz w:val="24"/>
          <w:lang w:eastAsia="zh-CN"/>
        </w:rPr>
        <w:t>不利于投标人的原则推断，</w:t>
      </w:r>
      <w:r>
        <w:rPr>
          <w:rFonts w:hint="eastAsia" w:ascii="宋体" w:hAnsi="宋体"/>
          <w:sz w:val="24"/>
        </w:rPr>
        <w:t>经磋商小组认定其报价低于成本或者高于磋商文件设定的最高投标限价的，将否决其投标。</w:t>
      </w:r>
    </w:p>
    <w:p w14:paraId="33162404">
      <w:pPr>
        <w:adjustRightInd w:val="0"/>
        <w:snapToGrid w:val="0"/>
        <w:spacing w:line="360" w:lineRule="auto"/>
        <w:ind w:right="-10" w:firstLine="482" w:firstLineChars="200"/>
        <w:rPr>
          <w:rFonts w:ascii="宋体" w:hAnsi="宋体"/>
          <w:sz w:val="24"/>
        </w:rPr>
      </w:pPr>
      <w:r>
        <w:rPr>
          <w:rFonts w:hint="eastAsia" w:ascii="宋体" w:hAnsi="宋体"/>
          <w:b/>
          <w:sz w:val="24"/>
          <w:lang w:val="en-US" w:eastAsia="zh-CN"/>
        </w:rPr>
        <w:t>2.5</w:t>
      </w:r>
      <w:r>
        <w:rPr>
          <w:rFonts w:hint="eastAsia" w:ascii="宋体" w:hAnsi="宋体"/>
          <w:sz w:val="24"/>
        </w:rPr>
        <w:t>投标人最终报价与公布的预算价（或最高投标限价（招标控制价）)相比降幅过小，或投标人最终报价明显缺乏竞争性的，磋商小组可以否决所有投标。</w:t>
      </w:r>
    </w:p>
    <w:p w14:paraId="159D8ABA">
      <w:pPr>
        <w:adjustRightInd w:val="0"/>
        <w:snapToGrid w:val="0"/>
        <w:spacing w:line="360" w:lineRule="auto"/>
        <w:ind w:right="-10" w:firstLine="482" w:firstLineChars="200"/>
        <w:rPr>
          <w:rFonts w:hint="eastAsia" w:ascii="宋体" w:hAnsi="宋体"/>
          <w:sz w:val="24"/>
        </w:rPr>
      </w:pPr>
      <w:r>
        <w:rPr>
          <w:rFonts w:hint="eastAsia" w:ascii="宋体" w:hAnsi="宋体"/>
          <w:b/>
          <w:bCs/>
          <w:sz w:val="24"/>
          <w:lang w:val="en-US" w:eastAsia="zh-CN"/>
        </w:rPr>
        <w:t>2.6</w:t>
      </w:r>
      <w:r>
        <w:rPr>
          <w:rFonts w:hint="eastAsia" w:ascii="宋体" w:hAnsi="宋体"/>
          <w:sz w:val="24"/>
        </w:rPr>
        <w:t>评</w:t>
      </w:r>
      <w:r>
        <w:rPr>
          <w:rFonts w:hint="eastAsia" w:ascii="宋体" w:hAnsi="宋体"/>
          <w:sz w:val="24"/>
          <w:lang w:eastAsia="zh-CN"/>
        </w:rPr>
        <w:t>审</w:t>
      </w:r>
      <w:r>
        <w:rPr>
          <w:rFonts w:hint="eastAsia" w:ascii="宋体" w:hAnsi="宋体"/>
          <w:sz w:val="24"/>
        </w:rPr>
        <w:t>后，磋商小组应写出评</w:t>
      </w:r>
      <w:r>
        <w:rPr>
          <w:rFonts w:hint="eastAsia" w:ascii="宋体" w:hAnsi="宋体"/>
          <w:sz w:val="24"/>
          <w:lang w:eastAsia="zh-CN"/>
        </w:rPr>
        <w:t>审</w:t>
      </w:r>
      <w:r>
        <w:rPr>
          <w:rFonts w:hint="eastAsia" w:ascii="宋体" w:hAnsi="宋体"/>
          <w:sz w:val="24"/>
        </w:rPr>
        <w:t>报告并签字。评</w:t>
      </w:r>
      <w:r>
        <w:rPr>
          <w:rFonts w:hint="eastAsia" w:ascii="宋体" w:hAnsi="宋体"/>
          <w:sz w:val="24"/>
          <w:lang w:eastAsia="zh-CN"/>
        </w:rPr>
        <w:t>审</w:t>
      </w:r>
      <w:r>
        <w:rPr>
          <w:rFonts w:hint="eastAsia" w:ascii="宋体" w:hAnsi="宋体"/>
          <w:sz w:val="24"/>
        </w:rPr>
        <w:t>报告是磋商小组根据全体</w:t>
      </w:r>
      <w:r>
        <w:rPr>
          <w:rFonts w:hint="eastAsia" w:ascii="宋体" w:hAnsi="宋体"/>
          <w:sz w:val="24"/>
          <w:lang w:eastAsia="zh-CN"/>
        </w:rPr>
        <w:t>磋商小组成员</w:t>
      </w:r>
      <w:r>
        <w:rPr>
          <w:rFonts w:hint="eastAsia" w:ascii="宋体" w:hAnsi="宋体"/>
          <w:sz w:val="24"/>
        </w:rPr>
        <w:t>签字的原始评</w:t>
      </w:r>
      <w:r>
        <w:rPr>
          <w:rFonts w:hint="eastAsia" w:ascii="宋体" w:hAnsi="宋体"/>
          <w:sz w:val="24"/>
          <w:lang w:eastAsia="zh-CN"/>
        </w:rPr>
        <w:t>审</w:t>
      </w:r>
      <w:r>
        <w:rPr>
          <w:rFonts w:hint="eastAsia" w:ascii="宋体" w:hAnsi="宋体"/>
          <w:sz w:val="24"/>
        </w:rPr>
        <w:t>记录和评</w:t>
      </w:r>
      <w:r>
        <w:rPr>
          <w:rFonts w:hint="eastAsia" w:ascii="宋体" w:hAnsi="宋体"/>
          <w:sz w:val="24"/>
          <w:lang w:eastAsia="zh-CN"/>
        </w:rPr>
        <w:t>审</w:t>
      </w:r>
      <w:r>
        <w:rPr>
          <w:rFonts w:hint="eastAsia" w:ascii="宋体" w:hAnsi="宋体"/>
          <w:sz w:val="24"/>
        </w:rPr>
        <w:t>结果编写的报告，磋商小组全体成员均须在评</w:t>
      </w:r>
      <w:r>
        <w:rPr>
          <w:rFonts w:hint="eastAsia" w:ascii="宋体" w:hAnsi="宋体"/>
          <w:sz w:val="24"/>
          <w:lang w:eastAsia="zh-CN"/>
        </w:rPr>
        <w:t>审</w:t>
      </w:r>
      <w:r>
        <w:rPr>
          <w:rFonts w:hint="eastAsia" w:ascii="宋体" w:hAnsi="宋体"/>
          <w:sz w:val="24"/>
        </w:rPr>
        <w:t>报告上签字。评</w:t>
      </w:r>
      <w:r>
        <w:rPr>
          <w:rFonts w:hint="eastAsia" w:ascii="宋体" w:hAnsi="宋体"/>
          <w:sz w:val="24"/>
          <w:lang w:eastAsia="zh-CN"/>
        </w:rPr>
        <w:t>审</w:t>
      </w:r>
      <w:r>
        <w:rPr>
          <w:rFonts w:hint="eastAsia" w:ascii="宋体" w:hAnsi="宋体"/>
          <w:sz w:val="24"/>
        </w:rPr>
        <w:t>报告应如实记录本次评</w:t>
      </w:r>
      <w:r>
        <w:rPr>
          <w:rFonts w:hint="eastAsia" w:ascii="宋体" w:hAnsi="宋体"/>
          <w:sz w:val="24"/>
          <w:lang w:eastAsia="zh-CN"/>
        </w:rPr>
        <w:t>审</w:t>
      </w:r>
      <w:r>
        <w:rPr>
          <w:rFonts w:hint="eastAsia" w:ascii="宋体" w:hAnsi="宋体"/>
          <w:sz w:val="24"/>
        </w:rPr>
        <w:t>的主要过程，全面反映评</w:t>
      </w:r>
      <w:r>
        <w:rPr>
          <w:rFonts w:hint="eastAsia" w:ascii="宋体" w:hAnsi="宋体"/>
          <w:sz w:val="24"/>
          <w:lang w:eastAsia="zh-CN"/>
        </w:rPr>
        <w:t>审</w:t>
      </w:r>
      <w:r>
        <w:rPr>
          <w:rFonts w:hint="eastAsia" w:ascii="宋体" w:hAnsi="宋体"/>
          <w:sz w:val="24"/>
        </w:rPr>
        <w:t>过程中的各种不同的意见，以及其他澄清、说明、补正事项。</w:t>
      </w:r>
    </w:p>
    <w:p w14:paraId="5EDEF273">
      <w:pPr>
        <w:adjustRightInd w:val="0"/>
        <w:snapToGrid w:val="0"/>
        <w:spacing w:line="360" w:lineRule="auto"/>
        <w:ind w:right="-10"/>
        <w:rPr>
          <w:rFonts w:ascii="宋体" w:hAnsi="宋体"/>
          <w:sz w:val="24"/>
        </w:rPr>
      </w:pPr>
      <w:r>
        <w:rPr>
          <w:rFonts w:ascii="宋体" w:hAnsi="宋体"/>
          <w:sz w:val="24"/>
        </w:rPr>
        <w:t xml:space="preserve">    </w:t>
      </w:r>
      <w:r>
        <w:rPr>
          <w:rFonts w:hint="eastAsia" w:ascii="宋体" w:hAnsi="宋体"/>
          <w:b/>
          <w:sz w:val="24"/>
          <w:lang w:val="en-US" w:eastAsia="zh-CN"/>
        </w:rPr>
        <w:t>2.7</w:t>
      </w:r>
      <w:r>
        <w:rPr>
          <w:rFonts w:hint="eastAsia" w:ascii="宋体" w:hAnsi="宋体"/>
          <w:sz w:val="24"/>
        </w:rPr>
        <w:t>磋商小组和评</w:t>
      </w:r>
      <w:r>
        <w:rPr>
          <w:rFonts w:hint="eastAsia" w:ascii="宋体" w:hAnsi="宋体"/>
          <w:sz w:val="24"/>
          <w:lang w:eastAsia="zh-CN"/>
        </w:rPr>
        <w:t>审</w:t>
      </w:r>
      <w:r>
        <w:rPr>
          <w:rFonts w:hint="eastAsia" w:ascii="宋体" w:hAnsi="宋体"/>
          <w:sz w:val="24"/>
        </w:rPr>
        <w:t>工作人员应严格遵守国家的法律、法规和规章制度；严格按照本次磋商文件进行评</w:t>
      </w:r>
      <w:r>
        <w:rPr>
          <w:rFonts w:hint="eastAsia" w:ascii="宋体" w:hAnsi="宋体"/>
          <w:sz w:val="24"/>
          <w:lang w:eastAsia="zh-CN"/>
        </w:rPr>
        <w:t>审</w:t>
      </w:r>
      <w:r>
        <w:rPr>
          <w:rFonts w:hint="eastAsia" w:ascii="宋体" w:hAnsi="宋体"/>
          <w:sz w:val="24"/>
        </w:rPr>
        <w:t>；公正廉洁、不徇私情，不得损害国家利益；保护招、投标人的合法权益。</w:t>
      </w:r>
    </w:p>
    <w:p w14:paraId="613AA161">
      <w:pPr>
        <w:rPr>
          <w:rFonts w:hint="eastAsia" w:ascii="宋体" w:hAnsi="宋体"/>
          <w:b w:val="0"/>
          <w:bCs w:val="0"/>
          <w:color w:val="auto"/>
          <w:sz w:val="24"/>
          <w:highlight w:val="none"/>
        </w:rPr>
      </w:pPr>
    </w:p>
    <w:p w14:paraId="3870ACBC">
      <w:pPr>
        <w:rPr>
          <w:rFonts w:hint="eastAsia" w:ascii="宋体" w:hAnsi="Times New Roman" w:eastAsia="宋体" w:cs="Times New Roman"/>
          <w:b/>
          <w:bCs/>
          <w:lang w:val="en-US" w:eastAsia="zh-CN"/>
        </w:rPr>
      </w:pPr>
      <w:bookmarkStart w:id="47" w:name="_Toc31114"/>
      <w:r>
        <w:rPr>
          <w:rFonts w:hint="eastAsia" w:ascii="宋体" w:hAnsi="Times New Roman" w:eastAsia="宋体" w:cs="Times New Roman"/>
          <w:b/>
          <w:bCs/>
          <w:lang w:val="en-US" w:eastAsia="zh-CN"/>
        </w:rPr>
        <w:br w:type="page"/>
      </w:r>
    </w:p>
    <w:p w14:paraId="67A70D78">
      <w:pPr>
        <w:pStyle w:val="3"/>
        <w:numPr>
          <w:ilvl w:val="0"/>
          <w:numId w:val="15"/>
        </w:numPr>
        <w:jc w:val="center"/>
        <w:rPr>
          <w:rFonts w:hint="eastAsia" w:ascii="宋体" w:hAnsi="Times New Roman" w:eastAsia="宋体" w:cs="Times New Roman"/>
          <w:b/>
          <w:bCs/>
          <w:sz w:val="36"/>
          <w:szCs w:val="20"/>
          <w:lang w:val="en-US" w:eastAsia="zh-CN"/>
        </w:rPr>
      </w:pPr>
      <w:r>
        <w:rPr>
          <w:rFonts w:hint="eastAsia" w:ascii="宋体" w:hAnsi="Times New Roman" w:eastAsia="宋体" w:cs="Times New Roman"/>
          <w:b/>
          <w:bCs/>
          <w:sz w:val="36"/>
          <w:szCs w:val="20"/>
          <w:lang w:val="en-US" w:eastAsia="zh-CN"/>
        </w:rPr>
        <w:t>合同条款及格式</w:t>
      </w:r>
      <w:bookmarkEnd w:id="45"/>
    </w:p>
    <w:p w14:paraId="069B0F0C">
      <w:pPr>
        <w:pStyle w:val="3"/>
        <w:numPr>
          <w:ilvl w:val="0"/>
          <w:numId w:val="0"/>
        </w:numPr>
        <w:jc w:val="center"/>
        <w:outlineLvl w:val="0"/>
        <w:rPr>
          <w:rFonts w:hint="eastAsia" w:ascii="宋体" w:hAnsi="Times New Roman" w:eastAsia="宋体" w:cs="Times New Roman"/>
          <w:b/>
          <w:bCs/>
          <w:sz w:val="36"/>
          <w:szCs w:val="20"/>
          <w:lang w:val="en-US" w:eastAsia="zh-CN"/>
        </w:rPr>
      </w:pPr>
      <w:r>
        <w:rPr>
          <w:rFonts w:hint="eastAsia" w:ascii="宋体" w:hAnsi="Times New Roman" w:eastAsia="宋体" w:cs="Times New Roman"/>
          <w:b/>
          <w:bCs/>
          <w:sz w:val="36"/>
          <w:szCs w:val="20"/>
          <w:lang w:val="en-US" w:eastAsia="zh-CN"/>
        </w:rPr>
        <w:t>（另行提供）</w:t>
      </w:r>
      <w:bookmarkEnd w:id="47"/>
    </w:p>
    <w:p w14:paraId="32C7B011">
      <w:pPr>
        <w:jc w:val="center"/>
        <w:rPr>
          <w:rFonts w:hint="eastAsia" w:ascii="黑体" w:hAnsi="黑体" w:eastAsia="黑体"/>
          <w:bCs/>
          <w:kern w:val="44"/>
          <w:sz w:val="32"/>
          <w:szCs w:val="44"/>
          <w:highlight w:val="none"/>
        </w:rPr>
      </w:pPr>
    </w:p>
    <w:p w14:paraId="01CB95C2">
      <w:pPr>
        <w:pStyle w:val="28"/>
        <w:rPr>
          <w:rFonts w:hint="eastAsia" w:hAnsi="宋体"/>
          <w:b/>
          <w:color w:val="000000"/>
          <w:szCs w:val="24"/>
          <w:highlight w:val="none"/>
        </w:rPr>
      </w:pPr>
    </w:p>
    <w:p w14:paraId="627A0339">
      <w:pPr>
        <w:pStyle w:val="28"/>
        <w:rPr>
          <w:rFonts w:hint="eastAsia" w:hAnsi="宋体"/>
          <w:b/>
          <w:color w:val="000000"/>
          <w:szCs w:val="24"/>
          <w:highlight w:val="none"/>
        </w:rPr>
      </w:pPr>
    </w:p>
    <w:p w14:paraId="4D652AE8">
      <w:pPr>
        <w:pStyle w:val="28"/>
        <w:rPr>
          <w:rFonts w:hint="eastAsia" w:hAnsi="宋体"/>
          <w:b/>
          <w:color w:val="000000"/>
          <w:szCs w:val="24"/>
          <w:highlight w:val="none"/>
        </w:rPr>
      </w:pPr>
    </w:p>
    <w:p w14:paraId="3A22410D">
      <w:pPr>
        <w:pStyle w:val="28"/>
        <w:rPr>
          <w:rFonts w:hint="eastAsia" w:hAnsi="宋体"/>
          <w:b/>
          <w:color w:val="000000"/>
          <w:szCs w:val="24"/>
          <w:highlight w:val="none"/>
        </w:rPr>
      </w:pPr>
    </w:p>
    <w:p w14:paraId="5C1B0F0C">
      <w:pPr>
        <w:pStyle w:val="28"/>
        <w:rPr>
          <w:rFonts w:hint="eastAsia" w:hAnsi="宋体"/>
          <w:b/>
          <w:color w:val="000000"/>
          <w:szCs w:val="24"/>
          <w:highlight w:val="none"/>
        </w:rPr>
      </w:pPr>
    </w:p>
    <w:p w14:paraId="00FD49D5">
      <w:pPr>
        <w:pStyle w:val="28"/>
        <w:rPr>
          <w:rFonts w:hint="eastAsia" w:hAnsi="宋体"/>
          <w:b/>
          <w:color w:val="000000"/>
          <w:szCs w:val="24"/>
          <w:highlight w:val="none"/>
        </w:rPr>
      </w:pPr>
    </w:p>
    <w:p w14:paraId="6812D40E">
      <w:pPr>
        <w:pStyle w:val="28"/>
        <w:rPr>
          <w:rFonts w:hint="eastAsia" w:hAnsi="宋体"/>
          <w:b/>
          <w:color w:val="000000"/>
          <w:szCs w:val="24"/>
          <w:highlight w:val="none"/>
        </w:rPr>
      </w:pPr>
    </w:p>
    <w:p w14:paraId="518B968C">
      <w:pPr>
        <w:pStyle w:val="3"/>
        <w:numPr>
          <w:ilvl w:val="0"/>
          <w:numId w:val="0"/>
        </w:numPr>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br w:type="page"/>
      </w:r>
      <w:bookmarkStart w:id="48" w:name="_Toc2143"/>
      <w:r>
        <w:rPr>
          <w:rFonts w:hint="eastAsia" w:ascii="宋体" w:hAnsi="Times New Roman" w:eastAsia="宋体" w:cs="Times New Roman"/>
          <w:b/>
          <w:bCs/>
          <w:lang w:val="en-US" w:eastAsia="zh-CN"/>
        </w:rPr>
        <w:t>第六章 响应文件格式</w:t>
      </w:r>
      <w:bookmarkEnd w:id="48"/>
    </w:p>
    <w:p w14:paraId="298D6978">
      <w:pPr>
        <w:jc w:val="center"/>
        <w:rPr>
          <w:rFonts w:hint="eastAsia" w:ascii="黑体" w:eastAsia="黑体"/>
          <w:sz w:val="32"/>
          <w:szCs w:val="32"/>
          <w:highlight w:val="none"/>
        </w:rPr>
      </w:pPr>
    </w:p>
    <w:p w14:paraId="08E00EE3">
      <w:pPr>
        <w:jc w:val="center"/>
        <w:rPr>
          <w:rFonts w:hint="eastAsia" w:ascii="黑体" w:eastAsia="宋体"/>
          <w:sz w:val="28"/>
          <w:szCs w:val="28"/>
          <w:highlight w:val="none"/>
          <w:lang w:eastAsia="zh-CN"/>
        </w:rPr>
      </w:pPr>
      <w:r>
        <w:rPr>
          <w:rFonts w:hint="eastAsia" w:ascii="黑体" w:eastAsia="黑体"/>
          <w:sz w:val="32"/>
          <w:szCs w:val="32"/>
          <w:highlight w:val="none"/>
          <w:u w:val="single"/>
        </w:rPr>
        <w:t xml:space="preserve">             </w:t>
      </w:r>
      <w:r>
        <w:rPr>
          <w:rFonts w:hint="eastAsia" w:hAnsi="宋体"/>
          <w:sz w:val="28"/>
          <w:szCs w:val="28"/>
          <w:highlight w:val="none"/>
        </w:rPr>
        <w:t>（招标项目名称）</w:t>
      </w:r>
      <w:r>
        <w:rPr>
          <w:rFonts w:hint="eastAsia" w:ascii="黑体" w:eastAsia="黑体"/>
          <w:sz w:val="28"/>
          <w:szCs w:val="28"/>
          <w:highlight w:val="none"/>
          <w:lang w:val="en-US" w:eastAsia="zh-CN"/>
        </w:rPr>
        <w:t>项目</w:t>
      </w:r>
    </w:p>
    <w:p w14:paraId="41154943">
      <w:pPr>
        <w:jc w:val="center"/>
        <w:rPr>
          <w:rFonts w:hint="eastAsia" w:ascii="黑体" w:eastAsia="黑体"/>
          <w:sz w:val="28"/>
          <w:szCs w:val="28"/>
          <w:highlight w:val="none"/>
        </w:rPr>
      </w:pPr>
    </w:p>
    <w:p w14:paraId="07D8ED94">
      <w:pPr>
        <w:jc w:val="center"/>
        <w:rPr>
          <w:rFonts w:hint="eastAsia" w:ascii="黑体" w:eastAsia="黑体"/>
          <w:sz w:val="28"/>
          <w:szCs w:val="28"/>
          <w:highlight w:val="none"/>
        </w:rPr>
      </w:pPr>
    </w:p>
    <w:p w14:paraId="6776B298">
      <w:pPr>
        <w:pStyle w:val="4"/>
        <w:jc w:val="center"/>
        <w:rPr>
          <w:rFonts w:hint="eastAsia" w:ascii="黑体" w:hAnsi="黑体" w:eastAsia="黑体"/>
          <w:b w:val="0"/>
          <w:sz w:val="44"/>
          <w:szCs w:val="44"/>
          <w:highlight w:val="none"/>
          <w:lang w:eastAsia="zh-CN"/>
        </w:rPr>
      </w:pPr>
      <w:bookmarkStart w:id="49" w:name="_Toc5783"/>
      <w:bookmarkStart w:id="50" w:name="_Toc26391"/>
      <w:r>
        <w:rPr>
          <w:rFonts w:hint="eastAsia" w:ascii="黑体" w:hAnsi="黑体" w:eastAsia="黑体"/>
          <w:b w:val="0"/>
          <w:sz w:val="44"/>
          <w:szCs w:val="44"/>
          <w:highlight w:val="none"/>
          <w:lang w:eastAsia="zh-CN"/>
        </w:rPr>
        <w:t>响应</w:t>
      </w:r>
      <w:r>
        <w:rPr>
          <w:rFonts w:hint="eastAsia" w:ascii="黑体" w:hAnsi="黑体" w:eastAsia="黑体"/>
          <w:b w:val="0"/>
          <w:sz w:val="44"/>
          <w:szCs w:val="44"/>
          <w:highlight w:val="none"/>
        </w:rPr>
        <w:t>文件</w:t>
      </w:r>
      <w:bookmarkEnd w:id="49"/>
    </w:p>
    <w:bookmarkEnd w:id="50"/>
    <w:p w14:paraId="718363A7">
      <w:pPr>
        <w:jc w:val="center"/>
        <w:rPr>
          <w:rFonts w:hint="eastAsia" w:ascii="黑体" w:eastAsia="黑体"/>
          <w:sz w:val="32"/>
          <w:szCs w:val="32"/>
          <w:highlight w:val="none"/>
        </w:rPr>
      </w:pPr>
    </w:p>
    <w:p w14:paraId="67CCEB1B">
      <w:pPr>
        <w:jc w:val="center"/>
        <w:rPr>
          <w:rFonts w:hint="eastAsia" w:ascii="黑体" w:eastAsia="黑体"/>
          <w:sz w:val="32"/>
          <w:szCs w:val="32"/>
          <w:highlight w:val="none"/>
        </w:rPr>
      </w:pPr>
    </w:p>
    <w:p w14:paraId="782266D8">
      <w:pPr>
        <w:jc w:val="center"/>
        <w:rPr>
          <w:rFonts w:hint="eastAsia" w:ascii="黑体" w:eastAsia="黑体"/>
          <w:sz w:val="32"/>
          <w:szCs w:val="32"/>
          <w:highlight w:val="none"/>
        </w:rPr>
      </w:pPr>
    </w:p>
    <w:p w14:paraId="2DAC01F2">
      <w:pPr>
        <w:jc w:val="center"/>
        <w:rPr>
          <w:rFonts w:hint="eastAsia" w:ascii="黑体" w:eastAsia="黑体"/>
          <w:sz w:val="32"/>
          <w:szCs w:val="32"/>
          <w:highlight w:val="none"/>
        </w:rPr>
      </w:pPr>
    </w:p>
    <w:p w14:paraId="2CB6B1F6">
      <w:pPr>
        <w:jc w:val="center"/>
        <w:rPr>
          <w:rFonts w:hint="eastAsia" w:ascii="黑体" w:eastAsia="黑体"/>
          <w:sz w:val="32"/>
          <w:szCs w:val="32"/>
          <w:highlight w:val="none"/>
        </w:rPr>
      </w:pPr>
    </w:p>
    <w:p w14:paraId="22B9BD69">
      <w:pPr>
        <w:jc w:val="center"/>
        <w:rPr>
          <w:rFonts w:hint="eastAsia" w:ascii="黑体" w:eastAsia="黑体"/>
          <w:sz w:val="32"/>
          <w:szCs w:val="32"/>
          <w:highlight w:val="none"/>
        </w:rPr>
      </w:pPr>
    </w:p>
    <w:p w14:paraId="13D07A6A">
      <w:pPr>
        <w:jc w:val="center"/>
        <w:rPr>
          <w:rFonts w:hint="eastAsia" w:ascii="黑体" w:eastAsia="黑体"/>
          <w:sz w:val="32"/>
          <w:szCs w:val="32"/>
          <w:highlight w:val="none"/>
        </w:rPr>
      </w:pPr>
    </w:p>
    <w:p w14:paraId="70AB17D8">
      <w:pPr>
        <w:jc w:val="center"/>
        <w:rPr>
          <w:rFonts w:hint="eastAsia" w:ascii="黑体" w:eastAsia="黑体"/>
          <w:sz w:val="32"/>
          <w:szCs w:val="32"/>
          <w:highlight w:val="none"/>
        </w:rPr>
      </w:pPr>
    </w:p>
    <w:p w14:paraId="078C9CEF">
      <w:pPr>
        <w:jc w:val="center"/>
        <w:rPr>
          <w:rFonts w:hint="eastAsia" w:ascii="黑体" w:eastAsia="黑体"/>
          <w:sz w:val="32"/>
          <w:szCs w:val="32"/>
          <w:highlight w:val="none"/>
        </w:rPr>
      </w:pPr>
    </w:p>
    <w:p w14:paraId="2B53520F">
      <w:pPr>
        <w:jc w:val="center"/>
        <w:rPr>
          <w:rFonts w:hint="eastAsia" w:ascii="黑体" w:eastAsia="黑体"/>
          <w:sz w:val="32"/>
          <w:szCs w:val="32"/>
          <w:highlight w:val="none"/>
        </w:rPr>
      </w:pPr>
    </w:p>
    <w:p w14:paraId="32F3136C">
      <w:pPr>
        <w:jc w:val="center"/>
        <w:rPr>
          <w:rFonts w:hint="eastAsia" w:ascii="黑体" w:eastAsia="黑体"/>
          <w:sz w:val="32"/>
          <w:szCs w:val="32"/>
          <w:highlight w:val="none"/>
        </w:rPr>
      </w:pPr>
    </w:p>
    <w:p w14:paraId="306B1E39">
      <w:pPr>
        <w:jc w:val="center"/>
        <w:rPr>
          <w:rFonts w:hint="eastAsia" w:ascii="黑体" w:eastAsia="黑体"/>
          <w:sz w:val="32"/>
          <w:szCs w:val="32"/>
          <w:highlight w:val="none"/>
        </w:rPr>
      </w:pPr>
    </w:p>
    <w:p w14:paraId="236C54EF">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5161DCC1">
      <w:pPr>
        <w:spacing w:line="360" w:lineRule="auto"/>
        <w:jc w:val="center"/>
        <w:rPr>
          <w:rFonts w:hint="eastAsia" w:ascii="黑体" w:eastAsia="黑体"/>
          <w:sz w:val="28"/>
          <w:szCs w:val="28"/>
          <w:highlight w:val="none"/>
        </w:rPr>
      </w:pPr>
    </w:p>
    <w:p w14:paraId="61A4D3E0">
      <w:pPr>
        <w:jc w:val="center"/>
        <w:rPr>
          <w:rFonts w:hint="eastAsia" w:ascii="黑体" w:eastAsia="黑体"/>
          <w:sz w:val="28"/>
          <w:szCs w:val="28"/>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032B2FC5">
      <w:pPr>
        <w:pStyle w:val="4"/>
        <w:spacing w:before="120" w:after="120" w:line="400" w:lineRule="exact"/>
        <w:jc w:val="center"/>
        <w:rPr>
          <w:rFonts w:hint="eastAsia" w:ascii="黑体" w:eastAsia="黑体"/>
          <w:sz w:val="28"/>
          <w:szCs w:val="28"/>
          <w:highlight w:val="none"/>
        </w:rPr>
      </w:pPr>
      <w:r>
        <w:rPr>
          <w:rFonts w:ascii="黑体" w:eastAsia="黑体"/>
          <w:sz w:val="28"/>
          <w:szCs w:val="28"/>
          <w:highlight w:val="none"/>
        </w:rPr>
        <w:br w:type="page"/>
      </w:r>
      <w:bookmarkStart w:id="51" w:name="_Toc26489"/>
      <w:r>
        <w:rPr>
          <w:rFonts w:hint="eastAsia" w:ascii="黑体" w:eastAsia="黑体"/>
          <w:sz w:val="28"/>
          <w:szCs w:val="28"/>
          <w:highlight w:val="none"/>
        </w:rPr>
        <w:t>目  录</w:t>
      </w:r>
      <w:bookmarkEnd w:id="51"/>
    </w:p>
    <w:p w14:paraId="4DF6BF4A">
      <w:pPr>
        <w:outlineLvl w:val="9"/>
        <w:rPr>
          <w:rFonts w:hint="eastAsia"/>
        </w:rPr>
      </w:pPr>
    </w:p>
    <w:p w14:paraId="764FAF50">
      <w:pPr>
        <w:rPr>
          <w:rFonts w:hint="eastAsia"/>
        </w:rPr>
      </w:pPr>
    </w:p>
    <w:p w14:paraId="3AF0A8C2">
      <w:pPr>
        <w:spacing w:line="600" w:lineRule="exact"/>
        <w:rPr>
          <w:rFonts w:hint="eastAsia" w:hAnsi="宋体" w:eastAsia="宋体"/>
          <w:szCs w:val="21"/>
          <w:highlight w:val="none"/>
          <w:lang w:eastAsia="zh-CN"/>
        </w:rPr>
      </w:pPr>
      <w:bookmarkStart w:id="52" w:name="_Toc19737"/>
      <w:r>
        <w:rPr>
          <w:rFonts w:hint="eastAsia" w:hAnsi="宋体"/>
          <w:szCs w:val="21"/>
          <w:highlight w:val="none"/>
        </w:rPr>
        <w:t>一、</w:t>
      </w:r>
      <w:r>
        <w:rPr>
          <w:rFonts w:hint="eastAsia" w:hAnsi="宋体"/>
          <w:szCs w:val="21"/>
          <w:highlight w:val="none"/>
          <w:lang w:eastAsia="zh-CN"/>
        </w:rPr>
        <w:t>开标一览表</w:t>
      </w:r>
    </w:p>
    <w:p w14:paraId="04A1F5FD">
      <w:pPr>
        <w:spacing w:line="600" w:lineRule="exact"/>
        <w:rPr>
          <w:rFonts w:hint="eastAsia" w:hAnsi="宋体" w:eastAsia="宋体"/>
          <w:szCs w:val="21"/>
          <w:highlight w:val="none"/>
          <w:lang w:eastAsia="zh-CN"/>
        </w:rPr>
      </w:pPr>
      <w:r>
        <w:rPr>
          <w:rFonts w:hint="eastAsia" w:hAnsi="宋体"/>
          <w:szCs w:val="21"/>
          <w:highlight w:val="none"/>
        </w:rPr>
        <w:t>二、</w:t>
      </w:r>
      <w:r>
        <w:rPr>
          <w:rFonts w:hint="eastAsia" w:hAnsi="宋体"/>
          <w:szCs w:val="21"/>
          <w:highlight w:val="none"/>
          <w:lang w:eastAsia="zh-CN"/>
        </w:rPr>
        <w:t>投标人基本情况表</w:t>
      </w:r>
    </w:p>
    <w:p w14:paraId="3EFECA57">
      <w:pPr>
        <w:spacing w:line="600" w:lineRule="exact"/>
        <w:rPr>
          <w:rFonts w:hint="eastAsia" w:hAnsi="宋体" w:eastAsia="宋体"/>
          <w:szCs w:val="21"/>
          <w:highlight w:val="none"/>
          <w:lang w:eastAsia="zh-CN"/>
        </w:rPr>
      </w:pPr>
      <w:r>
        <w:rPr>
          <w:rFonts w:hint="eastAsia" w:hAnsi="宋体"/>
          <w:szCs w:val="21"/>
          <w:highlight w:val="none"/>
        </w:rPr>
        <w:t>三、</w:t>
      </w:r>
      <w:r>
        <w:rPr>
          <w:rFonts w:hint="eastAsia" w:hAnsi="宋体"/>
          <w:szCs w:val="21"/>
          <w:highlight w:val="none"/>
          <w:lang w:eastAsia="zh-CN"/>
        </w:rPr>
        <w:t>投标函</w:t>
      </w:r>
    </w:p>
    <w:p w14:paraId="6FC7CFC0">
      <w:pPr>
        <w:spacing w:line="600" w:lineRule="exact"/>
        <w:rPr>
          <w:rFonts w:hint="eastAsia" w:hAnsi="宋体" w:eastAsia="宋体"/>
          <w:szCs w:val="21"/>
          <w:highlight w:val="none"/>
          <w:lang w:eastAsia="zh-CN"/>
        </w:rPr>
      </w:pPr>
      <w:r>
        <w:rPr>
          <w:rFonts w:hint="eastAsia" w:hAnsi="宋体"/>
          <w:szCs w:val="21"/>
          <w:highlight w:val="none"/>
          <w:lang w:eastAsia="zh-CN"/>
        </w:rPr>
        <w:t>四</w:t>
      </w:r>
      <w:r>
        <w:rPr>
          <w:rFonts w:hint="eastAsia" w:hAnsi="宋体"/>
          <w:szCs w:val="21"/>
          <w:highlight w:val="none"/>
        </w:rPr>
        <w:t>、</w:t>
      </w:r>
      <w:r>
        <w:rPr>
          <w:rFonts w:hint="eastAsia" w:hAnsi="宋体"/>
          <w:szCs w:val="21"/>
          <w:highlight w:val="none"/>
          <w:lang w:eastAsia="zh-CN"/>
        </w:rPr>
        <w:t>法定代表人身份证明或授权委托书</w:t>
      </w:r>
    </w:p>
    <w:p w14:paraId="5D1F2EF6">
      <w:pPr>
        <w:spacing w:line="600" w:lineRule="exact"/>
        <w:rPr>
          <w:rFonts w:hint="eastAsia" w:hAnsi="宋体" w:eastAsia="宋体"/>
          <w:szCs w:val="21"/>
          <w:highlight w:val="none"/>
          <w:lang w:eastAsia="zh-CN"/>
        </w:rPr>
      </w:pPr>
      <w:r>
        <w:rPr>
          <w:rFonts w:hint="eastAsia" w:hAnsi="宋体"/>
          <w:szCs w:val="21"/>
          <w:highlight w:val="none"/>
          <w:lang w:eastAsia="zh-CN"/>
        </w:rPr>
        <w:t>五</w:t>
      </w:r>
      <w:r>
        <w:rPr>
          <w:rFonts w:hint="eastAsia" w:hAnsi="宋体"/>
          <w:szCs w:val="21"/>
          <w:highlight w:val="none"/>
        </w:rPr>
        <w:t>、</w:t>
      </w:r>
      <w:r>
        <w:rPr>
          <w:rFonts w:hint="eastAsia" w:hAnsi="宋体"/>
          <w:szCs w:val="21"/>
          <w:highlight w:val="none"/>
          <w:lang w:eastAsia="zh-CN"/>
        </w:rPr>
        <w:t>投标人信用承诺</w:t>
      </w:r>
    </w:p>
    <w:p w14:paraId="196B0DAE">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六、投标人业绩</w:t>
      </w:r>
    </w:p>
    <w:p w14:paraId="166301F7">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七、奖项、荣誉（如有）</w:t>
      </w:r>
    </w:p>
    <w:p w14:paraId="530E69BC">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八、项目管理机构</w:t>
      </w:r>
    </w:p>
    <w:p w14:paraId="58F97CC8">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lang w:eastAsia="zh-CN"/>
        </w:rPr>
        <w:t>、后期服务方案</w:t>
      </w:r>
    </w:p>
    <w:p w14:paraId="75B946B8">
      <w:pPr>
        <w:spacing w:line="600" w:lineRule="exact"/>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十、营业执照</w:t>
      </w:r>
    </w:p>
    <w:p w14:paraId="14DBAB0A">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十</w:t>
      </w:r>
      <w:r>
        <w:rPr>
          <w:rFonts w:hint="eastAsia" w:ascii="宋体" w:hAnsi="宋体" w:cs="Times New Roman"/>
          <w:szCs w:val="21"/>
          <w:highlight w:val="none"/>
          <w:lang w:val="en-US" w:eastAsia="zh-CN"/>
        </w:rPr>
        <w:t>一</w:t>
      </w:r>
      <w:r>
        <w:rPr>
          <w:rFonts w:hint="eastAsia" w:ascii="宋体" w:hAnsi="宋体" w:eastAsia="宋体" w:cs="Times New Roman"/>
          <w:szCs w:val="21"/>
          <w:highlight w:val="none"/>
          <w:lang w:eastAsia="zh-CN"/>
        </w:rPr>
        <w:t>、其他材料</w:t>
      </w:r>
    </w:p>
    <w:p w14:paraId="716F120C">
      <w:pPr>
        <w:jc w:val="center"/>
        <w:outlineLvl w:val="9"/>
        <w:rPr>
          <w:rFonts w:hint="eastAsia" w:hAnsi="宋体"/>
          <w:color w:val="auto"/>
          <w:sz w:val="28"/>
          <w:highlight w:val="none"/>
        </w:rPr>
      </w:pPr>
    </w:p>
    <w:p w14:paraId="7BA1297F">
      <w:pPr>
        <w:outlineLvl w:val="9"/>
        <w:rPr>
          <w:rFonts w:hint="eastAsia" w:hAnsi="宋体"/>
          <w:color w:val="auto"/>
          <w:sz w:val="28"/>
          <w:highlight w:val="none"/>
        </w:rPr>
      </w:pPr>
    </w:p>
    <w:p w14:paraId="24581FCB">
      <w:pPr>
        <w:outlineLvl w:val="9"/>
        <w:rPr>
          <w:rFonts w:hint="eastAsia" w:hAnsi="宋体"/>
          <w:color w:val="auto"/>
          <w:sz w:val="28"/>
          <w:highlight w:val="none"/>
        </w:rPr>
      </w:pPr>
    </w:p>
    <w:p w14:paraId="2EBE191E">
      <w:pPr>
        <w:outlineLvl w:val="9"/>
        <w:rPr>
          <w:rFonts w:hint="eastAsia" w:hAnsi="宋体"/>
          <w:color w:val="auto"/>
          <w:sz w:val="28"/>
          <w:highlight w:val="none"/>
        </w:rPr>
      </w:pPr>
    </w:p>
    <w:p w14:paraId="3C796371">
      <w:pPr>
        <w:outlineLvl w:val="9"/>
        <w:rPr>
          <w:rFonts w:hint="eastAsia" w:hAnsi="宋体"/>
          <w:color w:val="auto"/>
          <w:sz w:val="28"/>
          <w:highlight w:val="none"/>
        </w:rPr>
      </w:pPr>
    </w:p>
    <w:p w14:paraId="01F68AC9">
      <w:pPr>
        <w:outlineLvl w:val="9"/>
        <w:rPr>
          <w:rFonts w:hint="eastAsia"/>
        </w:rPr>
      </w:pPr>
    </w:p>
    <w:p w14:paraId="7AD3B3F9">
      <w:pPr>
        <w:jc w:val="center"/>
        <w:outlineLvl w:val="9"/>
        <w:rPr>
          <w:rFonts w:hint="eastAsia" w:ascii="宋体" w:hAnsi="Times New Roman" w:eastAsia="宋体" w:cs="Times New Roman"/>
          <w:bCs w:val="0"/>
          <w:sz w:val="24"/>
          <w:highlight w:val="none"/>
          <w:lang w:val="en-US" w:eastAsia="zh-CN" w:bidi="ar-SA"/>
        </w:rPr>
      </w:pPr>
    </w:p>
    <w:p w14:paraId="4181EEEF">
      <w:pPr>
        <w:jc w:val="center"/>
        <w:outlineLvl w:val="9"/>
        <w:rPr>
          <w:rFonts w:hint="eastAsia" w:ascii="宋体" w:hAnsi="Times New Roman" w:eastAsia="宋体" w:cs="Times New Roman"/>
          <w:bCs w:val="0"/>
          <w:sz w:val="24"/>
          <w:highlight w:val="none"/>
          <w:lang w:val="en-US" w:eastAsia="zh-CN" w:bidi="ar-SA"/>
        </w:rPr>
      </w:pPr>
    </w:p>
    <w:p w14:paraId="70EE1CE6">
      <w:pPr>
        <w:jc w:val="center"/>
        <w:outlineLvl w:val="9"/>
        <w:rPr>
          <w:rFonts w:hint="eastAsia" w:ascii="宋体" w:hAnsi="Times New Roman" w:eastAsia="宋体" w:cs="Times New Roman"/>
          <w:bCs w:val="0"/>
          <w:sz w:val="24"/>
          <w:highlight w:val="none"/>
          <w:lang w:val="en-US" w:eastAsia="zh-CN" w:bidi="ar-SA"/>
        </w:rPr>
      </w:pPr>
    </w:p>
    <w:p w14:paraId="371AE440">
      <w:pPr>
        <w:jc w:val="center"/>
        <w:outlineLvl w:val="9"/>
        <w:rPr>
          <w:rFonts w:hint="eastAsia" w:ascii="宋体" w:hAnsi="Times New Roman" w:eastAsia="宋体" w:cs="Times New Roman"/>
          <w:bCs w:val="0"/>
          <w:sz w:val="24"/>
          <w:highlight w:val="none"/>
          <w:lang w:val="en-US" w:eastAsia="zh-CN" w:bidi="ar-SA"/>
        </w:rPr>
      </w:pPr>
    </w:p>
    <w:p w14:paraId="66F5639C">
      <w:pPr>
        <w:jc w:val="center"/>
        <w:outlineLvl w:val="9"/>
        <w:rPr>
          <w:rFonts w:hint="eastAsia" w:ascii="宋体" w:hAnsi="Times New Roman" w:eastAsia="宋体" w:cs="Times New Roman"/>
          <w:bCs w:val="0"/>
          <w:sz w:val="24"/>
          <w:highlight w:val="none"/>
          <w:lang w:val="en-US" w:eastAsia="zh-CN" w:bidi="ar-SA"/>
        </w:rPr>
      </w:pPr>
    </w:p>
    <w:p w14:paraId="1B4D13E7">
      <w:pPr>
        <w:jc w:val="center"/>
        <w:outlineLvl w:val="9"/>
        <w:rPr>
          <w:rFonts w:hint="eastAsia" w:ascii="宋体" w:hAnsi="Times New Roman" w:eastAsia="宋体" w:cs="Times New Roman"/>
          <w:bCs w:val="0"/>
          <w:sz w:val="24"/>
          <w:highlight w:val="none"/>
          <w:lang w:val="en-US" w:eastAsia="zh-CN" w:bidi="ar-SA"/>
        </w:rPr>
      </w:pPr>
    </w:p>
    <w:p w14:paraId="65C93179">
      <w:pPr>
        <w:jc w:val="center"/>
        <w:outlineLvl w:val="9"/>
        <w:rPr>
          <w:rFonts w:hint="eastAsia" w:ascii="宋体" w:hAnsi="Times New Roman" w:eastAsia="宋体" w:cs="Times New Roman"/>
          <w:bCs w:val="0"/>
          <w:sz w:val="24"/>
          <w:highlight w:val="none"/>
          <w:lang w:val="en-US" w:eastAsia="zh-CN" w:bidi="ar-SA"/>
        </w:rPr>
      </w:pPr>
    </w:p>
    <w:p w14:paraId="32D492CB">
      <w:pPr>
        <w:jc w:val="center"/>
        <w:outlineLvl w:val="9"/>
        <w:rPr>
          <w:rFonts w:hint="eastAsia" w:ascii="宋体" w:hAnsi="Times New Roman" w:eastAsia="宋体" w:cs="Times New Roman"/>
          <w:bCs w:val="0"/>
          <w:sz w:val="24"/>
          <w:highlight w:val="none"/>
          <w:lang w:val="en-US" w:eastAsia="zh-CN" w:bidi="ar-SA"/>
        </w:rPr>
      </w:pPr>
    </w:p>
    <w:p w14:paraId="21301DB5">
      <w:pPr>
        <w:rPr>
          <w:rFonts w:hint="eastAsia"/>
          <w:lang w:val="en-US" w:eastAsia="zh-CN"/>
        </w:rPr>
      </w:pPr>
    </w:p>
    <w:p w14:paraId="235833A0">
      <w:pPr>
        <w:jc w:val="center"/>
        <w:outlineLvl w:val="1"/>
        <w:rPr>
          <w:rFonts w:hint="eastAsia" w:ascii="宋体" w:hAnsi="Times New Roman" w:eastAsia="宋体" w:cs="Times New Roman"/>
          <w:bCs w:val="0"/>
          <w:sz w:val="24"/>
          <w:highlight w:val="none"/>
          <w:lang w:val="en-US" w:eastAsia="zh-CN" w:bidi="ar-SA"/>
        </w:rPr>
      </w:pPr>
      <w:bookmarkStart w:id="53" w:name="_Toc16163"/>
      <w:r>
        <w:rPr>
          <w:rFonts w:hint="eastAsia" w:ascii="宋体" w:hAnsi="Times New Roman" w:eastAsia="宋体" w:cs="Times New Roman"/>
          <w:bCs w:val="0"/>
          <w:sz w:val="24"/>
          <w:highlight w:val="none"/>
          <w:lang w:val="en-US" w:eastAsia="zh-CN" w:bidi="ar-SA"/>
        </w:rPr>
        <w:t>一、开标一览表</w:t>
      </w:r>
      <w:bookmarkEnd w:id="5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1A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C0F08CF">
            <w:pPr>
              <w:widowControl/>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7D76C7C6">
            <w:pPr>
              <w:spacing w:line="360" w:lineRule="exact"/>
              <w:jc w:val="center"/>
              <w:rPr>
                <w:rFonts w:hint="eastAsia" w:ascii="宋体" w:hAnsi="宋体" w:eastAsia="宋体"/>
                <w:b w:val="0"/>
                <w:bCs/>
                <w:color w:val="auto"/>
                <w:sz w:val="24"/>
                <w:highlight w:val="none"/>
                <w:u w:val="single"/>
                <w:lang w:eastAsia="zh-CN"/>
              </w:rPr>
            </w:pPr>
            <w:r>
              <w:rPr>
                <w:rFonts w:hint="eastAsia" w:ascii="宋体" w:hAnsi="宋体" w:eastAsia="宋体" w:cs="宋体"/>
                <w:b w:val="0"/>
                <w:bCs/>
                <w:sz w:val="24"/>
                <w:szCs w:val="24"/>
                <w:lang w:val="en-US" w:eastAsia="zh-CN"/>
              </w:rPr>
              <w:t xml:space="preserve"> </w:t>
            </w:r>
          </w:p>
        </w:tc>
      </w:tr>
      <w:tr w14:paraId="619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2471" w:type="dxa"/>
            <w:tcBorders>
              <w:top w:val="nil"/>
            </w:tcBorders>
            <w:noWrap w:val="0"/>
            <w:vAlign w:val="center"/>
          </w:tcPr>
          <w:p w14:paraId="6DF9C234">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投标人全称</w:t>
            </w:r>
          </w:p>
        </w:tc>
        <w:tc>
          <w:tcPr>
            <w:tcW w:w="6667" w:type="dxa"/>
            <w:tcBorders>
              <w:top w:val="nil"/>
            </w:tcBorders>
            <w:noWrap w:val="0"/>
            <w:vAlign w:val="center"/>
          </w:tcPr>
          <w:p w14:paraId="506AA445">
            <w:pPr>
              <w:rPr>
                <w:rFonts w:hint="eastAsia"/>
                <w:b w:val="0"/>
                <w:bCs/>
              </w:rPr>
            </w:pPr>
          </w:p>
        </w:tc>
      </w:tr>
      <w:tr w14:paraId="5DCF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2471" w:type="dxa"/>
            <w:tcBorders>
              <w:top w:val="nil"/>
            </w:tcBorders>
            <w:noWrap w:val="0"/>
            <w:vAlign w:val="center"/>
          </w:tcPr>
          <w:p w14:paraId="7AE58844">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投标范围</w:t>
            </w:r>
          </w:p>
        </w:tc>
        <w:tc>
          <w:tcPr>
            <w:tcW w:w="6667" w:type="dxa"/>
            <w:tcBorders>
              <w:top w:val="nil"/>
            </w:tcBorders>
            <w:noWrap w:val="0"/>
            <w:vAlign w:val="center"/>
          </w:tcPr>
          <w:p w14:paraId="2D9F1AEE">
            <w:pPr>
              <w:widowControl/>
              <w:spacing w:line="360" w:lineRule="exact"/>
              <w:rPr>
                <w:rFonts w:hint="eastAsia"/>
              </w:rPr>
            </w:pPr>
            <w:r>
              <w:rPr>
                <w:rFonts w:hint="eastAsia"/>
              </w:rPr>
              <w:t>全部</w:t>
            </w:r>
          </w:p>
        </w:tc>
      </w:tr>
      <w:tr w14:paraId="7725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8" w:hRule="atLeast"/>
          <w:jc w:val="center"/>
        </w:trPr>
        <w:tc>
          <w:tcPr>
            <w:tcW w:w="2471" w:type="dxa"/>
            <w:tcBorders>
              <w:top w:val="nil"/>
            </w:tcBorders>
            <w:noWrap w:val="0"/>
            <w:vAlign w:val="center"/>
          </w:tcPr>
          <w:p w14:paraId="1F76F837">
            <w:pPr>
              <w:spacing w:line="360" w:lineRule="exact"/>
              <w:jc w:val="center"/>
              <w:rPr>
                <w:rFonts w:ascii="宋体" w:hAnsi="宋体"/>
                <w:b w:val="0"/>
                <w:bCs/>
                <w:color w:val="auto"/>
                <w:sz w:val="24"/>
                <w:highlight w:val="none"/>
              </w:rPr>
            </w:pPr>
            <w:r>
              <w:rPr>
                <w:rFonts w:hint="eastAsia" w:ascii="宋体" w:hAnsi="宋体"/>
                <w:b w:val="0"/>
                <w:bCs/>
                <w:color w:val="auto"/>
                <w:sz w:val="24"/>
                <w:highlight w:val="none"/>
              </w:rPr>
              <w:t>最终投标报价</w:t>
            </w:r>
          </w:p>
        </w:tc>
        <w:tc>
          <w:tcPr>
            <w:tcW w:w="6667" w:type="dxa"/>
            <w:tcBorders>
              <w:top w:val="nil"/>
            </w:tcBorders>
            <w:noWrap w:val="0"/>
            <w:vAlign w:val="center"/>
          </w:tcPr>
          <w:p w14:paraId="079C1BFD">
            <w:pPr>
              <w:spacing w:line="360" w:lineRule="auto"/>
              <w:ind w:right="-670"/>
              <w:rPr>
                <w:rFonts w:hint="eastAsia"/>
                <w:color w:val="auto"/>
                <w:u w:val="none"/>
                <w:lang w:val="en-US" w:eastAsia="zh-CN"/>
              </w:rPr>
            </w:pPr>
          </w:p>
          <w:p w14:paraId="7556FDD9">
            <w:pPr>
              <w:spacing w:line="360" w:lineRule="auto"/>
              <w:ind w:right="-670"/>
              <w:rPr>
                <w:rFonts w:hint="default"/>
                <w:color w:val="auto"/>
                <w:u w:val="single"/>
                <w:lang w:val="en-US" w:eastAsia="zh-CN"/>
              </w:rPr>
            </w:pPr>
            <w:r>
              <w:rPr>
                <w:rFonts w:hint="eastAsia"/>
                <w:color w:val="auto"/>
                <w:u w:val="none"/>
                <w:lang w:eastAsia="zh-CN"/>
              </w:rPr>
              <w:t>大写：</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圆</w:t>
            </w:r>
          </w:p>
          <w:p w14:paraId="74180251">
            <w:pPr>
              <w:spacing w:line="360" w:lineRule="auto"/>
              <w:ind w:right="-670"/>
              <w:rPr>
                <w:rFonts w:hint="default"/>
                <w:color w:val="auto"/>
                <w:lang w:val="en-US"/>
              </w:rPr>
            </w:pPr>
            <w:r>
              <w:rPr>
                <w:rFonts w:hint="eastAsia"/>
                <w:color w:val="auto"/>
                <w:lang w:eastAsia="zh-CN"/>
              </w:rPr>
              <w:t>小写：</w:t>
            </w:r>
            <w:r>
              <w:rPr>
                <w:rFonts w:hint="eastAsia"/>
                <w:color w:val="auto"/>
                <w:u w:val="single"/>
                <w:lang w:val="en-US" w:eastAsia="zh-CN"/>
              </w:rPr>
              <w:t xml:space="preserve">           元</w:t>
            </w:r>
          </w:p>
        </w:tc>
      </w:tr>
      <w:tr w14:paraId="7FB3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2471" w:type="dxa"/>
            <w:tcBorders>
              <w:top w:val="nil"/>
            </w:tcBorders>
            <w:noWrap w:val="0"/>
            <w:vAlign w:val="center"/>
          </w:tcPr>
          <w:p w14:paraId="7B6C36B1">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备注</w:t>
            </w:r>
          </w:p>
        </w:tc>
        <w:tc>
          <w:tcPr>
            <w:tcW w:w="6667" w:type="dxa"/>
            <w:tcBorders>
              <w:top w:val="nil"/>
            </w:tcBorders>
            <w:noWrap w:val="0"/>
            <w:vAlign w:val="center"/>
          </w:tcPr>
          <w:p w14:paraId="03638524">
            <w:pPr>
              <w:widowControl/>
              <w:spacing w:line="360" w:lineRule="auto"/>
              <w:jc w:val="center"/>
              <w:textAlignment w:val="center"/>
              <w:rPr>
                <w:rFonts w:hint="default" w:ascii="宋体" w:hAnsi="宋体" w:eastAsia="宋体"/>
                <w:b w:val="0"/>
                <w:bCs/>
                <w:color w:val="auto"/>
                <w:sz w:val="24"/>
                <w:szCs w:val="28"/>
                <w:highlight w:val="none"/>
                <w:lang w:val="en-US" w:eastAsia="zh-CN"/>
              </w:rPr>
            </w:pPr>
          </w:p>
        </w:tc>
      </w:tr>
    </w:tbl>
    <w:p w14:paraId="0ADB2B2D">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14:paraId="725B548C">
      <w:pPr>
        <w:spacing w:before="100" w:beforeAutospacing="1" w:after="100" w:afterAutospacing="1" w:line="360" w:lineRule="auto"/>
        <w:rPr>
          <w:rFonts w:hint="eastAsia" w:ascii="宋体" w:hAnsi="宋体"/>
          <w:b w:val="0"/>
          <w:bCs/>
          <w:color w:val="auto"/>
          <w:sz w:val="24"/>
          <w:highlight w:val="none"/>
          <w:lang w:eastAsia="zh-CN"/>
        </w:rPr>
      </w:pPr>
      <w:r>
        <w:rPr>
          <w:rFonts w:hint="eastAsia" w:ascii="宋体" w:hAnsi="宋体"/>
          <w:b w:val="0"/>
          <w:bCs/>
          <w:color w:val="auto"/>
          <w:sz w:val="24"/>
          <w:highlight w:val="none"/>
          <w:lang w:eastAsia="zh-CN"/>
        </w:rPr>
        <w:t>日期：</w:t>
      </w:r>
    </w:p>
    <w:p w14:paraId="12BEA28E">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 xml:space="preserve">                                 </w:t>
      </w:r>
    </w:p>
    <w:p w14:paraId="5945C6C9">
      <w:pPr>
        <w:jc w:val="left"/>
        <w:outlineLvl w:val="9"/>
        <w:rPr>
          <w:rFonts w:ascii="宋体"/>
          <w:b w:val="0"/>
          <w:bCs/>
          <w:szCs w:val="21"/>
          <w:highlight w:val="none"/>
        </w:rPr>
      </w:pPr>
      <w:r>
        <w:rPr>
          <w:rFonts w:hint="eastAsia" w:ascii="宋体" w:hAnsi="宋体"/>
          <w:b w:val="0"/>
          <w:bCs/>
          <w:color w:val="auto"/>
          <w:sz w:val="24"/>
          <w:highlight w:val="none"/>
        </w:rPr>
        <w:t>备注：表中最终投标报价即为优惠后报价，并作为评审及定标依据。任何有选择或有条件的最终投标报价，或者对应某一报价项填写了多个报价的，均为无效报价（</w:t>
      </w:r>
      <w:r>
        <w:rPr>
          <w:rFonts w:hint="eastAsia" w:ascii="宋体" w:hAnsi="宋体"/>
          <w:b w:val="0"/>
          <w:bCs/>
          <w:color w:val="auto"/>
          <w:sz w:val="24"/>
          <w:highlight w:val="none"/>
          <w:lang w:eastAsia="zh-CN"/>
        </w:rPr>
        <w:t>磋商文件</w:t>
      </w:r>
      <w:r>
        <w:rPr>
          <w:rFonts w:hint="eastAsia" w:ascii="宋体" w:hAnsi="宋体"/>
          <w:b w:val="0"/>
          <w:bCs/>
          <w:color w:val="auto"/>
          <w:sz w:val="24"/>
          <w:highlight w:val="none"/>
        </w:rPr>
        <w:t>另有规定的，除外）。</w:t>
      </w:r>
    </w:p>
    <w:p w14:paraId="5743F663">
      <w:pPr>
        <w:jc w:val="left"/>
        <w:outlineLvl w:val="9"/>
        <w:rPr>
          <w:rFonts w:hint="eastAsia" w:ascii="宋体" w:cs="Times New Roman"/>
          <w:b/>
          <w:bCs/>
          <w:sz w:val="24"/>
          <w:highlight w:val="none"/>
          <w:lang w:val="en-US" w:eastAsia="zh-CN" w:bidi="ar-SA"/>
        </w:rPr>
      </w:pPr>
      <w:r>
        <w:rPr>
          <w:rFonts w:hint="eastAsia" w:ascii="宋体" w:cs="Times New Roman"/>
          <w:b/>
          <w:bCs/>
          <w:sz w:val="24"/>
          <w:highlight w:val="none"/>
          <w:lang w:val="en-US" w:eastAsia="zh-CN" w:bidi="ar-SA"/>
        </w:rPr>
        <w:t>投标人需提供分项报价表。</w:t>
      </w:r>
    </w:p>
    <w:p w14:paraId="5C4EC938">
      <w:pPr>
        <w:rPr>
          <w:rFonts w:hint="eastAsia" w:ascii="宋体" w:cs="Times New Roman"/>
          <w:b/>
          <w:bCs/>
          <w:sz w:val="24"/>
          <w:highlight w:val="none"/>
          <w:lang w:val="en-US" w:eastAsia="zh-CN" w:bidi="ar-SA"/>
        </w:rPr>
      </w:pPr>
      <w:r>
        <w:rPr>
          <w:rFonts w:hint="eastAsia" w:ascii="宋体" w:cs="Times New Roman"/>
          <w:b/>
          <w:bCs/>
          <w:sz w:val="24"/>
          <w:highlight w:val="none"/>
          <w:lang w:val="en-US" w:eastAsia="zh-CN" w:bidi="ar-SA"/>
        </w:rPr>
        <w:br w:type="page"/>
      </w:r>
    </w:p>
    <w:p w14:paraId="1B46F685">
      <w:pPr>
        <w:pStyle w:val="7"/>
        <w:rPr>
          <w:rFonts w:hint="default"/>
          <w:lang w:val="en-US" w:eastAsia="zh-CN"/>
        </w:rPr>
      </w:pPr>
    </w:p>
    <w:p w14:paraId="007E23AB">
      <w:pPr>
        <w:jc w:val="center"/>
        <w:rPr>
          <w:rFonts w:hint="eastAsia" w:ascii="宋体" w:cs="Times New Roman"/>
          <w:b/>
          <w:bCs/>
          <w:sz w:val="24"/>
          <w:highlight w:val="none"/>
          <w:lang w:val="en-US" w:eastAsia="zh-CN" w:bidi="ar-SA"/>
        </w:rPr>
      </w:pPr>
      <w:bookmarkStart w:id="54" w:name="_Toc25189"/>
      <w:r>
        <w:rPr>
          <w:rFonts w:hint="eastAsia" w:ascii="宋体" w:cs="Times New Roman"/>
          <w:b/>
          <w:bCs/>
          <w:sz w:val="24"/>
          <w:highlight w:val="none"/>
          <w:lang w:val="en-US" w:eastAsia="zh-CN" w:bidi="ar-SA"/>
        </w:rPr>
        <w:t>分项报价表</w:t>
      </w:r>
    </w:p>
    <w:p w14:paraId="46107B1A">
      <w:pPr>
        <w:spacing w:line="360" w:lineRule="auto"/>
        <w:ind w:firstLine="435"/>
        <w:jc w:val="center"/>
        <w:rPr>
          <w:rFonts w:hint="default" w:asciiTheme="minorEastAsia" w:hAnsiTheme="minorEastAsia" w:eastAsiaTheme="minorEastAsia"/>
          <w:b/>
          <w:bCs/>
          <w:color w:val="FF0000"/>
          <w:sz w:val="24"/>
          <w:highlight w:val="yellow"/>
          <w:lang w:val="en-US" w:eastAsia="zh-CN"/>
        </w:rPr>
      </w:pPr>
      <w:r>
        <w:rPr>
          <w:rFonts w:hint="eastAsia" w:asciiTheme="minorEastAsia" w:hAnsiTheme="minorEastAsia" w:eastAsiaTheme="minorEastAsia"/>
          <w:i/>
          <w:sz w:val="24"/>
          <w:highlight w:val="none"/>
        </w:rPr>
        <w:t>（仅供参考，供应商可自行制作格式）</w:t>
      </w:r>
    </w:p>
    <w:tbl>
      <w:tblPr>
        <w:tblStyle w:val="23"/>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674"/>
        <w:gridCol w:w="902"/>
        <w:gridCol w:w="1889"/>
        <w:gridCol w:w="2346"/>
      </w:tblGrid>
      <w:tr w14:paraId="585C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trHeight w:val="503" w:hRule="atLeast"/>
          <w:jc w:val="center"/>
        </w:trPr>
        <w:tc>
          <w:tcPr>
            <w:tcW w:w="355" w:type="pct"/>
            <w:vAlign w:val="center"/>
          </w:tcPr>
          <w:p w14:paraId="2CB3BAE3">
            <w:pPr>
              <w:jc w:val="center"/>
              <w:rPr>
                <w:rFonts w:ascii="宋体" w:hAnsi="宋体" w:eastAsia="宋体"/>
                <w:b/>
                <w:sz w:val="24"/>
              </w:rPr>
            </w:pPr>
            <w:r>
              <w:rPr>
                <w:rFonts w:hint="eastAsia" w:ascii="宋体" w:hAnsi="宋体" w:eastAsia="宋体"/>
                <w:b/>
                <w:sz w:val="24"/>
              </w:rPr>
              <w:t>序号</w:t>
            </w:r>
          </w:p>
        </w:tc>
        <w:tc>
          <w:tcPr>
            <w:tcW w:w="1590" w:type="pct"/>
            <w:vAlign w:val="center"/>
          </w:tcPr>
          <w:p w14:paraId="556B96B9">
            <w:pPr>
              <w:jc w:val="center"/>
              <w:rPr>
                <w:rFonts w:ascii="宋体" w:hAnsi="宋体" w:eastAsia="宋体"/>
                <w:b/>
                <w:sz w:val="24"/>
              </w:rPr>
            </w:pPr>
            <w:r>
              <w:rPr>
                <w:rFonts w:hint="eastAsia" w:ascii="宋体" w:hAnsi="宋体" w:eastAsia="宋体"/>
                <w:b/>
                <w:sz w:val="24"/>
              </w:rPr>
              <w:t>服务内容</w:t>
            </w:r>
          </w:p>
        </w:tc>
        <w:tc>
          <w:tcPr>
            <w:tcW w:w="536" w:type="pct"/>
            <w:vAlign w:val="center"/>
          </w:tcPr>
          <w:p w14:paraId="33B6428E">
            <w:pPr>
              <w:jc w:val="center"/>
              <w:rPr>
                <w:rFonts w:hint="eastAsia" w:ascii="宋体" w:hAnsi="宋体" w:eastAsia="宋体"/>
                <w:b/>
                <w:sz w:val="24"/>
                <w:lang w:val="en-US" w:eastAsia="zh-CN"/>
              </w:rPr>
            </w:pPr>
            <w:r>
              <w:rPr>
                <w:rFonts w:hint="eastAsia" w:ascii="宋体" w:hAnsi="宋体" w:eastAsia="宋体"/>
                <w:b/>
                <w:sz w:val="24"/>
                <w:lang w:val="en-US" w:eastAsia="zh-CN"/>
              </w:rPr>
              <w:t>台</w:t>
            </w:r>
          </w:p>
        </w:tc>
        <w:tc>
          <w:tcPr>
            <w:tcW w:w="1123" w:type="pct"/>
            <w:vAlign w:val="center"/>
          </w:tcPr>
          <w:p w14:paraId="74C87D9C">
            <w:pPr>
              <w:jc w:val="center"/>
              <w:rPr>
                <w:rFonts w:hint="default" w:ascii="宋体" w:hAnsi="宋体" w:eastAsia="宋体"/>
                <w:b/>
                <w:sz w:val="24"/>
                <w:lang w:val="en-US" w:eastAsia="zh-CN"/>
              </w:rPr>
            </w:pPr>
            <w:r>
              <w:rPr>
                <w:rFonts w:hint="eastAsia" w:ascii="宋体" w:hAnsi="宋体" w:eastAsia="宋体"/>
                <w:b/>
                <w:sz w:val="24"/>
                <w:lang w:val="en-US" w:eastAsia="zh-CN"/>
              </w:rPr>
              <w:t>单价</w:t>
            </w:r>
            <w:r>
              <w:rPr>
                <w:rFonts w:hint="eastAsia" w:ascii="宋体" w:hAnsi="宋体" w:eastAsia="宋体"/>
                <w:b/>
                <w:sz w:val="24"/>
                <w:lang w:eastAsia="zh-CN"/>
              </w:rPr>
              <w:t>（</w:t>
            </w:r>
            <w:r>
              <w:rPr>
                <w:rFonts w:hint="eastAsia" w:ascii="宋体" w:hAnsi="宋体" w:eastAsia="宋体"/>
                <w:b/>
                <w:sz w:val="24"/>
                <w:lang w:val="en-US" w:eastAsia="zh-CN"/>
              </w:rPr>
              <w:t>元/年</w:t>
            </w:r>
            <w:r>
              <w:rPr>
                <w:rFonts w:hint="eastAsia" w:ascii="宋体" w:hAnsi="宋体" w:eastAsia="宋体"/>
                <w:b/>
                <w:sz w:val="24"/>
                <w:lang w:eastAsia="zh-CN"/>
              </w:rPr>
              <w:t>）</w:t>
            </w:r>
          </w:p>
        </w:tc>
        <w:tc>
          <w:tcPr>
            <w:tcW w:w="1395" w:type="pct"/>
            <w:vAlign w:val="center"/>
          </w:tcPr>
          <w:p w14:paraId="5E134348">
            <w:pPr>
              <w:jc w:val="center"/>
              <w:rPr>
                <w:rFonts w:ascii="宋体" w:hAnsi="宋体" w:eastAsia="宋体"/>
                <w:b/>
                <w:sz w:val="24"/>
              </w:rPr>
            </w:pPr>
            <w:r>
              <w:rPr>
                <w:rFonts w:hint="eastAsia" w:ascii="宋体" w:hAnsi="宋体" w:eastAsia="宋体"/>
                <w:b/>
                <w:sz w:val="24"/>
              </w:rPr>
              <w:t>小计金额（元</w:t>
            </w:r>
            <w:r>
              <w:rPr>
                <w:rFonts w:hint="eastAsia" w:ascii="宋体" w:hAnsi="宋体"/>
                <w:b/>
                <w:sz w:val="24"/>
                <w:lang w:val="en-US" w:eastAsia="zh-CN"/>
              </w:rPr>
              <w:t>/年</w:t>
            </w:r>
            <w:r>
              <w:rPr>
                <w:rFonts w:hint="eastAsia" w:ascii="宋体" w:hAnsi="宋体" w:eastAsia="宋体"/>
                <w:b/>
                <w:sz w:val="24"/>
              </w:rPr>
              <w:t>）</w:t>
            </w:r>
          </w:p>
        </w:tc>
      </w:tr>
      <w:tr w14:paraId="6B37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309" w:hRule="atLeast"/>
          <w:jc w:val="center"/>
        </w:trPr>
        <w:tc>
          <w:tcPr>
            <w:tcW w:w="355" w:type="pct"/>
            <w:tcBorders>
              <w:bottom w:val="single" w:color="auto" w:sz="4" w:space="0"/>
            </w:tcBorders>
            <w:vAlign w:val="center"/>
          </w:tcPr>
          <w:p w14:paraId="21B345A6">
            <w:pPr>
              <w:jc w:val="center"/>
              <w:rPr>
                <w:rFonts w:ascii="宋体" w:hAnsi="宋体" w:eastAsia="宋体"/>
                <w:sz w:val="24"/>
              </w:rPr>
            </w:pPr>
            <w:r>
              <w:rPr>
                <w:rFonts w:hint="eastAsia" w:ascii="宋体" w:hAnsi="宋体" w:eastAsia="宋体"/>
                <w:sz w:val="24"/>
              </w:rPr>
              <w:t>1</w:t>
            </w:r>
          </w:p>
        </w:tc>
        <w:tc>
          <w:tcPr>
            <w:tcW w:w="1590" w:type="pct"/>
            <w:vAlign w:val="center"/>
          </w:tcPr>
          <w:p w14:paraId="072E2DB9">
            <w:pPr>
              <w:jc w:val="center"/>
              <w:rPr>
                <w:rFonts w:hint="default" w:ascii="宋体" w:hAnsi="宋体" w:eastAsia="宋体"/>
                <w:sz w:val="24"/>
                <w:lang w:val="en-US"/>
              </w:rPr>
            </w:pPr>
            <w:r>
              <w:rPr>
                <w:rFonts w:hint="eastAsia" w:ascii="宋体" w:hAnsi="宋体" w:cs="宋体"/>
                <w:sz w:val="24"/>
                <w:szCs w:val="24"/>
                <w:lang w:val="en-US" w:eastAsia="zh-CN"/>
              </w:rPr>
              <w:t>海棠花园小区电梯维保</w:t>
            </w:r>
          </w:p>
        </w:tc>
        <w:tc>
          <w:tcPr>
            <w:tcW w:w="536" w:type="pct"/>
            <w:vAlign w:val="center"/>
          </w:tcPr>
          <w:p w14:paraId="2A732D0B">
            <w:pPr>
              <w:jc w:val="center"/>
              <w:rPr>
                <w:rFonts w:hint="default" w:ascii="宋体" w:hAnsi="宋体" w:eastAsia="宋体"/>
                <w:sz w:val="24"/>
                <w:lang w:val="en-US" w:eastAsia="zh-CN"/>
              </w:rPr>
            </w:pPr>
            <w:r>
              <w:rPr>
                <w:rFonts w:hint="eastAsia" w:ascii="宋体" w:hAnsi="宋体"/>
                <w:sz w:val="24"/>
                <w:lang w:val="en-US" w:eastAsia="zh-CN"/>
              </w:rPr>
              <w:t>13</w:t>
            </w:r>
          </w:p>
        </w:tc>
        <w:tc>
          <w:tcPr>
            <w:tcW w:w="1123" w:type="pct"/>
            <w:vAlign w:val="center"/>
          </w:tcPr>
          <w:p w14:paraId="30CED7E3">
            <w:pPr>
              <w:jc w:val="center"/>
              <w:rPr>
                <w:rFonts w:hint="default" w:ascii="宋体" w:hAnsi="宋体" w:eastAsia="宋体"/>
                <w:sz w:val="24"/>
                <w:lang w:val="en-US" w:eastAsia="zh-CN"/>
              </w:rPr>
            </w:pPr>
          </w:p>
        </w:tc>
        <w:tc>
          <w:tcPr>
            <w:tcW w:w="1395" w:type="pct"/>
            <w:vAlign w:val="center"/>
          </w:tcPr>
          <w:p w14:paraId="486DEB58">
            <w:pPr>
              <w:jc w:val="center"/>
              <w:rPr>
                <w:rFonts w:ascii="宋体" w:hAnsi="宋体" w:eastAsia="宋体"/>
                <w:sz w:val="24"/>
              </w:rPr>
            </w:pPr>
          </w:p>
        </w:tc>
      </w:tr>
      <w:tr w14:paraId="1F76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3604" w:type="pct"/>
            <w:gridSpan w:val="4"/>
            <w:vAlign w:val="center"/>
          </w:tcPr>
          <w:p w14:paraId="5D98A208">
            <w:pPr>
              <w:jc w:val="center"/>
              <w:rPr>
                <w:rFonts w:hint="eastAsia" w:ascii="宋体" w:hAnsi="宋体" w:eastAsia="宋体"/>
                <w:b/>
                <w:sz w:val="24"/>
              </w:rPr>
            </w:pPr>
            <w:r>
              <w:rPr>
                <w:rFonts w:hint="eastAsia" w:ascii="宋体" w:hAnsi="宋体" w:eastAsia="宋体"/>
                <w:b/>
                <w:sz w:val="24"/>
              </w:rPr>
              <w:t>合计金额（元）</w:t>
            </w:r>
          </w:p>
        </w:tc>
        <w:tc>
          <w:tcPr>
            <w:tcW w:w="1395" w:type="pct"/>
            <w:vAlign w:val="center"/>
          </w:tcPr>
          <w:p w14:paraId="1EEF808B">
            <w:pPr>
              <w:jc w:val="center"/>
              <w:rPr>
                <w:rFonts w:ascii="宋体" w:hAnsi="宋体" w:eastAsia="宋体"/>
                <w:sz w:val="24"/>
              </w:rPr>
            </w:pPr>
          </w:p>
        </w:tc>
      </w:tr>
    </w:tbl>
    <w:p w14:paraId="68CD6576">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       </w:t>
      </w:r>
    </w:p>
    <w:p w14:paraId="3D1079CB">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06C9A5C5">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w:t>
      </w:r>
      <w:r>
        <w:rPr>
          <w:rFonts w:hint="eastAsia" w:ascii="宋体" w:hAnsi="宋体"/>
          <w:b/>
          <w:bCs/>
          <w:sz w:val="24"/>
          <w:szCs w:val="28"/>
          <w:lang w:val="en-US" w:eastAsia="zh-CN"/>
        </w:rPr>
        <w:t>投标人</w:t>
      </w:r>
      <w:r>
        <w:rPr>
          <w:rFonts w:hint="eastAsia" w:ascii="宋体" w:hAnsi="宋体" w:eastAsia="宋体"/>
          <w:b/>
          <w:bCs/>
          <w:sz w:val="24"/>
          <w:szCs w:val="28"/>
        </w:rPr>
        <w:t>承担全部责任。</w:t>
      </w:r>
    </w:p>
    <w:p w14:paraId="5E44DB48">
      <w:pPr>
        <w:jc w:val="center"/>
        <w:rPr>
          <w:rFonts w:hint="eastAsia" w:ascii="宋体" w:cs="Times New Roman"/>
          <w:b/>
          <w:bCs/>
          <w:sz w:val="24"/>
          <w:highlight w:val="none"/>
          <w:lang w:val="en-US" w:eastAsia="zh-CN" w:bidi="ar-SA"/>
        </w:rPr>
      </w:pPr>
    </w:p>
    <w:p w14:paraId="62FC3B0E">
      <w:pPr>
        <w:jc w:val="center"/>
        <w:rPr>
          <w:rFonts w:hint="eastAsia" w:ascii="宋体" w:cs="Times New Roman"/>
          <w:b/>
          <w:bCs/>
          <w:sz w:val="24"/>
          <w:highlight w:val="none"/>
          <w:lang w:val="en-US" w:eastAsia="zh-CN" w:bidi="ar-SA"/>
        </w:rPr>
      </w:pPr>
    </w:p>
    <w:p w14:paraId="288688B0">
      <w:pPr>
        <w:jc w:val="both"/>
        <w:rPr>
          <w:rFonts w:hint="eastAsia" w:ascii="宋体" w:hAnsi="Times New Roman" w:eastAsia="宋体" w:cs="Times New Roman"/>
          <w:bCs w:val="0"/>
          <w:sz w:val="24"/>
          <w:highlight w:val="none"/>
          <w:lang w:val="en-US" w:eastAsia="zh-CN" w:bidi="ar-SA"/>
        </w:rPr>
      </w:pPr>
    </w:p>
    <w:p w14:paraId="42F2299F">
      <w:pPr>
        <w:jc w:val="both"/>
        <w:rPr>
          <w:rFonts w:hint="eastAsia" w:ascii="宋体" w:hAnsi="Times New Roman" w:eastAsia="宋体" w:cs="Times New Roman"/>
          <w:bCs w:val="0"/>
          <w:sz w:val="24"/>
          <w:highlight w:val="none"/>
          <w:lang w:val="en-US" w:eastAsia="zh-CN" w:bidi="ar-SA"/>
        </w:rPr>
      </w:pPr>
    </w:p>
    <w:p w14:paraId="21C9BBA2">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14:paraId="0ACC571E">
      <w:pPr>
        <w:spacing w:before="100" w:beforeAutospacing="1" w:after="100" w:afterAutospacing="1" w:line="360" w:lineRule="auto"/>
        <w:rPr>
          <w:rFonts w:hint="eastAsia" w:ascii="宋体" w:hAnsi="宋体"/>
          <w:b w:val="0"/>
          <w:bCs/>
          <w:color w:val="auto"/>
          <w:sz w:val="24"/>
          <w:highlight w:val="none"/>
          <w:lang w:eastAsia="zh-CN"/>
        </w:rPr>
      </w:pPr>
      <w:r>
        <w:rPr>
          <w:rFonts w:hint="eastAsia" w:ascii="宋体" w:hAnsi="宋体"/>
          <w:b w:val="0"/>
          <w:bCs/>
          <w:color w:val="auto"/>
          <w:sz w:val="24"/>
          <w:highlight w:val="none"/>
          <w:lang w:eastAsia="zh-CN"/>
        </w:rPr>
        <w:t>日期：</w:t>
      </w:r>
    </w:p>
    <w:p w14:paraId="7BC75E08">
      <w:pPr>
        <w:jc w:val="both"/>
        <w:rPr>
          <w:rFonts w:hint="default"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br w:type="page"/>
      </w:r>
    </w:p>
    <w:p w14:paraId="6AD81EC8">
      <w:pPr>
        <w:jc w:val="center"/>
        <w:outlineLvl w:val="1"/>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t>二、投标人基本情况表</w:t>
      </w:r>
      <w:bookmarkEnd w:id="54"/>
    </w:p>
    <w:tbl>
      <w:tblPr>
        <w:tblStyle w:val="23"/>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C04D11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539AEC">
            <w:pPr>
              <w:autoSpaceDE w:val="0"/>
              <w:autoSpaceDN w:val="0"/>
              <w:adjustRightInd w:val="0"/>
              <w:snapToGrid w:val="0"/>
              <w:jc w:val="center"/>
              <w:rPr>
                <w:rFonts w:hAnsi="宋体"/>
                <w:highlight w:val="none"/>
              </w:rPr>
            </w:pPr>
            <w:r>
              <w:rPr>
                <w:rFonts w:hint="eastAsia" w:hAnsi="宋体"/>
                <w:szCs w:val="22"/>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2BF92730">
            <w:pPr>
              <w:autoSpaceDE w:val="0"/>
              <w:autoSpaceDN w:val="0"/>
              <w:adjustRightInd w:val="0"/>
              <w:snapToGrid w:val="0"/>
              <w:jc w:val="center"/>
              <w:rPr>
                <w:rFonts w:hAnsi="宋体"/>
                <w:highlight w:val="none"/>
              </w:rPr>
            </w:pPr>
          </w:p>
        </w:tc>
      </w:tr>
      <w:tr w14:paraId="25A2046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E9D91F">
            <w:pPr>
              <w:autoSpaceDE w:val="0"/>
              <w:autoSpaceDN w:val="0"/>
              <w:adjustRightInd w:val="0"/>
              <w:snapToGrid w:val="0"/>
              <w:jc w:val="center"/>
              <w:rPr>
                <w:rFonts w:hAnsi="宋体"/>
                <w:highlight w:val="none"/>
              </w:rPr>
            </w:pPr>
            <w:r>
              <w:rPr>
                <w:rFonts w:hint="eastAsia" w:hAnsi="宋体"/>
                <w:szCs w:val="22"/>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187A1910">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0E013BE">
            <w:pPr>
              <w:autoSpaceDE w:val="0"/>
              <w:autoSpaceDN w:val="0"/>
              <w:adjustRightInd w:val="0"/>
              <w:snapToGrid w:val="0"/>
              <w:jc w:val="center"/>
              <w:rPr>
                <w:rFonts w:hAnsi="宋体"/>
                <w:highlight w:val="none"/>
              </w:rPr>
            </w:pPr>
            <w:r>
              <w:rPr>
                <w:rFonts w:hint="eastAsia" w:hAnsi="宋体"/>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AE711EA">
            <w:pPr>
              <w:autoSpaceDE w:val="0"/>
              <w:autoSpaceDN w:val="0"/>
              <w:adjustRightInd w:val="0"/>
              <w:snapToGrid w:val="0"/>
              <w:jc w:val="center"/>
              <w:rPr>
                <w:rFonts w:hAnsi="宋体"/>
                <w:highlight w:val="none"/>
              </w:rPr>
            </w:pPr>
          </w:p>
        </w:tc>
      </w:tr>
      <w:tr w14:paraId="23E927B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315AF">
            <w:pPr>
              <w:autoSpaceDE w:val="0"/>
              <w:autoSpaceDN w:val="0"/>
              <w:adjustRightInd w:val="0"/>
              <w:snapToGrid w:val="0"/>
              <w:jc w:val="center"/>
              <w:rPr>
                <w:rFonts w:hAnsi="宋体"/>
                <w:highlight w:val="none"/>
              </w:rPr>
            </w:pPr>
            <w:r>
              <w:rPr>
                <w:rFonts w:hint="eastAsia" w:hAnsi="宋体"/>
                <w:szCs w:val="22"/>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9198333">
            <w:pPr>
              <w:autoSpaceDE w:val="0"/>
              <w:autoSpaceDN w:val="0"/>
              <w:adjustRightInd w:val="0"/>
              <w:snapToGrid w:val="0"/>
              <w:jc w:val="center"/>
              <w:rPr>
                <w:rFonts w:hAnsi="宋体"/>
                <w:highlight w:val="none"/>
              </w:rPr>
            </w:pPr>
            <w:r>
              <w:rPr>
                <w:rFonts w:hint="eastAsia" w:hAnsi="宋体"/>
                <w:szCs w:val="22"/>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27454574">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645E140">
            <w:pPr>
              <w:autoSpaceDE w:val="0"/>
              <w:autoSpaceDN w:val="0"/>
              <w:adjustRightInd w:val="0"/>
              <w:snapToGrid w:val="0"/>
              <w:jc w:val="center"/>
              <w:rPr>
                <w:rFonts w:hAnsi="宋体"/>
                <w:highlight w:val="none"/>
              </w:rPr>
            </w:pPr>
            <w:r>
              <w:rPr>
                <w:rFonts w:hint="eastAsia" w:hAnsi="宋体"/>
                <w:szCs w:val="22"/>
                <w:highlight w:val="none"/>
              </w:rPr>
              <w:t xml:space="preserve">电 </w:t>
            </w:r>
            <w:r>
              <w:rPr>
                <w:rFonts w:hint="eastAsia" w:hAnsi="宋体"/>
                <w:spacing w:val="1"/>
                <w:szCs w:val="22"/>
                <w:highlight w:val="none"/>
              </w:rPr>
              <w:t xml:space="preserve"> </w:t>
            </w:r>
            <w:r>
              <w:rPr>
                <w:rFonts w:hint="eastAsia" w:hAnsi="宋体"/>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1BD19CE">
            <w:pPr>
              <w:autoSpaceDE w:val="0"/>
              <w:autoSpaceDN w:val="0"/>
              <w:adjustRightInd w:val="0"/>
              <w:snapToGrid w:val="0"/>
              <w:jc w:val="center"/>
              <w:rPr>
                <w:rFonts w:hAnsi="宋体"/>
                <w:highlight w:val="none"/>
              </w:rPr>
            </w:pPr>
          </w:p>
        </w:tc>
      </w:tr>
      <w:tr w14:paraId="1999C433">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CCFC3">
            <w:pPr>
              <w:widowControl/>
              <w:adjustRightInd w:val="0"/>
              <w:snapToGrid w:val="0"/>
              <w:jc w:val="left"/>
              <w:rPr>
                <w:rFonts w:hAnsi="宋体"/>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A164A5">
            <w:pPr>
              <w:tabs>
                <w:tab w:val="left" w:pos="540"/>
              </w:tabs>
              <w:autoSpaceDE w:val="0"/>
              <w:autoSpaceDN w:val="0"/>
              <w:adjustRightInd w:val="0"/>
              <w:snapToGrid w:val="0"/>
              <w:jc w:val="center"/>
              <w:rPr>
                <w:rFonts w:hAnsi="宋体"/>
                <w:highlight w:val="none"/>
              </w:rPr>
            </w:pPr>
            <w:r>
              <w:rPr>
                <w:rFonts w:hint="eastAsia" w:hAnsi="宋体"/>
                <w:szCs w:val="22"/>
                <w:highlight w:val="none"/>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6A7BC74A">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8BA6454">
            <w:pPr>
              <w:autoSpaceDE w:val="0"/>
              <w:autoSpaceDN w:val="0"/>
              <w:adjustRightInd w:val="0"/>
              <w:snapToGrid w:val="0"/>
              <w:jc w:val="center"/>
              <w:rPr>
                <w:rFonts w:hAnsi="宋体"/>
                <w:highlight w:val="none"/>
              </w:rPr>
            </w:pPr>
            <w:r>
              <w:rPr>
                <w:rFonts w:hint="eastAsia" w:hAnsi="宋体"/>
                <w:szCs w:val="22"/>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5FF20FD">
            <w:pPr>
              <w:autoSpaceDE w:val="0"/>
              <w:autoSpaceDN w:val="0"/>
              <w:adjustRightInd w:val="0"/>
              <w:snapToGrid w:val="0"/>
              <w:jc w:val="center"/>
              <w:rPr>
                <w:rFonts w:hAnsi="宋体"/>
                <w:highlight w:val="none"/>
              </w:rPr>
            </w:pPr>
          </w:p>
        </w:tc>
      </w:tr>
      <w:tr w14:paraId="73DE237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39DD6F">
            <w:pPr>
              <w:autoSpaceDE w:val="0"/>
              <w:autoSpaceDN w:val="0"/>
              <w:adjustRightInd w:val="0"/>
              <w:snapToGrid w:val="0"/>
              <w:jc w:val="center"/>
              <w:rPr>
                <w:rFonts w:hAnsi="宋体"/>
                <w:highlight w:val="none"/>
              </w:rPr>
            </w:pPr>
            <w:r>
              <w:rPr>
                <w:rFonts w:hint="eastAsia" w:hAnsi="宋体"/>
                <w:szCs w:val="22"/>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A8C9599">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51970E">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C888C11">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0B9134FE">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12BD3F">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5A8CEC">
            <w:pPr>
              <w:autoSpaceDE w:val="0"/>
              <w:autoSpaceDN w:val="0"/>
              <w:adjustRightInd w:val="0"/>
              <w:snapToGrid w:val="0"/>
              <w:jc w:val="center"/>
              <w:rPr>
                <w:rFonts w:hAnsi="宋体"/>
                <w:highlight w:val="none"/>
              </w:rPr>
            </w:pPr>
          </w:p>
        </w:tc>
      </w:tr>
      <w:tr w14:paraId="076165C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A474AD">
            <w:pPr>
              <w:autoSpaceDE w:val="0"/>
              <w:autoSpaceDN w:val="0"/>
              <w:adjustRightInd w:val="0"/>
              <w:snapToGrid w:val="0"/>
              <w:jc w:val="center"/>
              <w:rPr>
                <w:rFonts w:hAnsi="宋体"/>
                <w:highlight w:val="none"/>
              </w:rPr>
            </w:pPr>
            <w:r>
              <w:rPr>
                <w:rFonts w:hint="eastAsia" w:hAnsi="宋体"/>
                <w:szCs w:val="22"/>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E973FA4">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1274CC2">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2B451536">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0FDA054F">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DDBF04">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44C198">
            <w:pPr>
              <w:autoSpaceDE w:val="0"/>
              <w:autoSpaceDN w:val="0"/>
              <w:adjustRightInd w:val="0"/>
              <w:snapToGrid w:val="0"/>
              <w:jc w:val="center"/>
              <w:rPr>
                <w:rFonts w:hAnsi="宋体"/>
                <w:highlight w:val="none"/>
              </w:rPr>
            </w:pPr>
          </w:p>
        </w:tc>
      </w:tr>
      <w:tr w14:paraId="7454242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08B79CE">
            <w:pPr>
              <w:autoSpaceDE w:val="0"/>
              <w:autoSpaceDN w:val="0"/>
              <w:adjustRightInd w:val="0"/>
              <w:snapToGrid w:val="0"/>
              <w:jc w:val="center"/>
              <w:rPr>
                <w:rFonts w:hAnsi="宋体"/>
                <w:highlight w:val="none"/>
              </w:rPr>
            </w:pPr>
            <w:r>
              <w:rPr>
                <w:rFonts w:hint="eastAsia" w:hAnsi="宋体"/>
                <w:szCs w:val="22"/>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6E20B7A">
            <w:pPr>
              <w:autoSpaceDE w:val="0"/>
              <w:autoSpaceDN w:val="0"/>
              <w:adjustRightInd w:val="0"/>
              <w:snapToGrid w:val="0"/>
              <w:jc w:val="center"/>
              <w:rPr>
                <w:rFonts w:hAnsi="宋体"/>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15665D44">
            <w:pPr>
              <w:autoSpaceDE w:val="0"/>
              <w:autoSpaceDN w:val="0"/>
              <w:adjustRightInd w:val="0"/>
              <w:snapToGrid w:val="0"/>
              <w:jc w:val="center"/>
              <w:rPr>
                <w:rFonts w:hAnsi="宋体"/>
                <w:highlight w:val="none"/>
              </w:rPr>
            </w:pPr>
            <w:r>
              <w:rPr>
                <w:rFonts w:hint="eastAsia" w:hAnsi="宋体"/>
                <w:szCs w:val="22"/>
                <w:highlight w:val="none"/>
              </w:rPr>
              <w:t>员工总人数：</w:t>
            </w:r>
          </w:p>
        </w:tc>
      </w:tr>
      <w:tr w14:paraId="10ED486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00FF705">
            <w:pPr>
              <w:autoSpaceDE w:val="0"/>
              <w:autoSpaceDN w:val="0"/>
              <w:adjustRightInd w:val="0"/>
              <w:snapToGrid w:val="0"/>
              <w:jc w:val="center"/>
              <w:rPr>
                <w:rFonts w:hAnsi="宋体"/>
                <w:highlight w:val="none"/>
              </w:rPr>
            </w:pPr>
            <w:r>
              <w:rPr>
                <w:rFonts w:hint="eastAsia" w:hAnsi="宋体"/>
                <w:szCs w:val="22"/>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DEB11BC">
            <w:pPr>
              <w:autoSpaceDE w:val="0"/>
              <w:autoSpaceDN w:val="0"/>
              <w:adjustRightInd w:val="0"/>
              <w:snapToGrid w:val="0"/>
              <w:jc w:val="center"/>
              <w:rPr>
                <w:rFonts w:hAnsi="宋体"/>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BD9B5">
            <w:pPr>
              <w:autoSpaceDE w:val="0"/>
              <w:autoSpaceDN w:val="0"/>
              <w:adjustRightInd w:val="0"/>
              <w:snapToGrid w:val="0"/>
              <w:jc w:val="center"/>
              <w:rPr>
                <w:rFonts w:hAnsi="宋体"/>
                <w:highlight w:val="none"/>
              </w:rPr>
            </w:pPr>
            <w:r>
              <w:rPr>
                <w:rFonts w:hint="eastAsia" w:hAnsi="宋体"/>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825D817">
            <w:pPr>
              <w:autoSpaceDE w:val="0"/>
              <w:autoSpaceDN w:val="0"/>
              <w:adjustRightInd w:val="0"/>
              <w:snapToGrid w:val="0"/>
              <w:jc w:val="center"/>
              <w:rPr>
                <w:rFonts w:hAnsi="宋体"/>
                <w:highlight w:val="none"/>
              </w:rPr>
            </w:pPr>
            <w:r>
              <w:rPr>
                <w:rFonts w:hint="eastAsia" w:hAnsi="宋体"/>
                <w:szCs w:val="22"/>
                <w:highlight w:val="none"/>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123D352">
            <w:pPr>
              <w:autoSpaceDE w:val="0"/>
              <w:autoSpaceDN w:val="0"/>
              <w:adjustRightInd w:val="0"/>
              <w:snapToGrid w:val="0"/>
              <w:jc w:val="center"/>
              <w:rPr>
                <w:rFonts w:hAnsi="宋体"/>
                <w:highlight w:val="none"/>
              </w:rPr>
            </w:pPr>
          </w:p>
        </w:tc>
      </w:tr>
      <w:tr w14:paraId="35E89EC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C3CFC8">
            <w:pPr>
              <w:autoSpaceDE w:val="0"/>
              <w:autoSpaceDN w:val="0"/>
              <w:adjustRightInd w:val="0"/>
              <w:snapToGrid w:val="0"/>
              <w:jc w:val="center"/>
              <w:rPr>
                <w:rFonts w:hAnsi="宋体"/>
                <w:highlight w:val="none"/>
              </w:rPr>
            </w:pPr>
            <w:r>
              <w:rPr>
                <w:rFonts w:hint="eastAsia" w:hAnsi="宋体"/>
                <w:szCs w:val="22"/>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22558C6">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DC4F5">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1A5146A">
            <w:pPr>
              <w:autoSpaceDE w:val="0"/>
              <w:autoSpaceDN w:val="0"/>
              <w:adjustRightInd w:val="0"/>
              <w:snapToGrid w:val="0"/>
              <w:jc w:val="center"/>
              <w:rPr>
                <w:rFonts w:hAnsi="宋体"/>
                <w:highlight w:val="none"/>
              </w:rPr>
            </w:pPr>
            <w:r>
              <w:rPr>
                <w:rFonts w:hint="eastAsia" w:hAnsi="宋体"/>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513CADD">
            <w:pPr>
              <w:autoSpaceDE w:val="0"/>
              <w:autoSpaceDN w:val="0"/>
              <w:adjustRightInd w:val="0"/>
              <w:snapToGrid w:val="0"/>
              <w:jc w:val="center"/>
              <w:rPr>
                <w:rFonts w:hAnsi="宋体"/>
                <w:highlight w:val="none"/>
              </w:rPr>
            </w:pPr>
          </w:p>
        </w:tc>
      </w:tr>
      <w:tr w14:paraId="63AEA8B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858669">
            <w:pPr>
              <w:autoSpaceDE w:val="0"/>
              <w:autoSpaceDN w:val="0"/>
              <w:adjustRightInd w:val="0"/>
              <w:snapToGrid w:val="0"/>
              <w:jc w:val="center"/>
              <w:rPr>
                <w:rFonts w:hAnsi="宋体"/>
                <w:highlight w:val="none"/>
              </w:rPr>
            </w:pPr>
            <w:r>
              <w:rPr>
                <w:rFonts w:hint="eastAsia" w:hAnsi="宋体"/>
                <w:szCs w:val="22"/>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B7CCFCD">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2CD8F">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D447936">
            <w:pPr>
              <w:autoSpaceDE w:val="0"/>
              <w:autoSpaceDN w:val="0"/>
              <w:adjustRightInd w:val="0"/>
              <w:snapToGrid w:val="0"/>
              <w:jc w:val="center"/>
              <w:rPr>
                <w:rFonts w:hAnsi="宋体"/>
                <w:highlight w:val="none"/>
              </w:rPr>
            </w:pPr>
            <w:r>
              <w:rPr>
                <w:rFonts w:hint="eastAsia" w:hAnsi="宋体"/>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1ECD501">
            <w:pPr>
              <w:autoSpaceDE w:val="0"/>
              <w:autoSpaceDN w:val="0"/>
              <w:adjustRightInd w:val="0"/>
              <w:snapToGrid w:val="0"/>
              <w:jc w:val="center"/>
              <w:rPr>
                <w:rFonts w:hAnsi="宋体"/>
                <w:highlight w:val="none"/>
              </w:rPr>
            </w:pPr>
          </w:p>
        </w:tc>
      </w:tr>
      <w:tr w14:paraId="347C017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F36ECBD">
            <w:pPr>
              <w:autoSpaceDE w:val="0"/>
              <w:autoSpaceDN w:val="0"/>
              <w:adjustRightInd w:val="0"/>
              <w:snapToGrid w:val="0"/>
              <w:jc w:val="center"/>
              <w:rPr>
                <w:rFonts w:hAnsi="宋体"/>
                <w:highlight w:val="none"/>
              </w:rPr>
            </w:pPr>
            <w:r>
              <w:rPr>
                <w:rFonts w:hint="eastAsia" w:hAnsi="宋体"/>
                <w:szCs w:val="22"/>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1FA0493">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85FE7">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7B9F3BE">
            <w:pPr>
              <w:autoSpaceDE w:val="0"/>
              <w:autoSpaceDN w:val="0"/>
              <w:adjustRightInd w:val="0"/>
              <w:snapToGrid w:val="0"/>
              <w:jc w:val="center"/>
              <w:rPr>
                <w:rFonts w:hAnsi="宋体"/>
                <w:highlight w:val="none"/>
              </w:rPr>
            </w:pPr>
            <w:r>
              <w:rPr>
                <w:rFonts w:hint="eastAsia" w:hAnsi="宋体"/>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2D21B60">
            <w:pPr>
              <w:autoSpaceDE w:val="0"/>
              <w:autoSpaceDN w:val="0"/>
              <w:adjustRightInd w:val="0"/>
              <w:snapToGrid w:val="0"/>
              <w:jc w:val="center"/>
              <w:rPr>
                <w:rFonts w:hAnsi="宋体"/>
                <w:highlight w:val="none"/>
              </w:rPr>
            </w:pPr>
          </w:p>
        </w:tc>
      </w:tr>
      <w:tr w14:paraId="2D3F6426">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F04DED0">
            <w:pPr>
              <w:autoSpaceDE w:val="0"/>
              <w:autoSpaceDN w:val="0"/>
              <w:adjustRightInd w:val="0"/>
              <w:snapToGrid w:val="0"/>
              <w:jc w:val="center"/>
              <w:rPr>
                <w:rFonts w:hAnsi="宋体"/>
                <w:highlight w:val="none"/>
              </w:rPr>
            </w:pPr>
            <w:r>
              <w:rPr>
                <w:rFonts w:hint="eastAsia" w:hAnsi="宋体"/>
                <w:szCs w:val="22"/>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C0303D7">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7CCCC">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917832C">
            <w:pPr>
              <w:tabs>
                <w:tab w:val="left" w:pos="1240"/>
              </w:tabs>
              <w:autoSpaceDE w:val="0"/>
              <w:autoSpaceDN w:val="0"/>
              <w:adjustRightInd w:val="0"/>
              <w:snapToGrid w:val="0"/>
              <w:jc w:val="center"/>
              <w:rPr>
                <w:rFonts w:hAnsi="宋体"/>
                <w:highlight w:val="none"/>
              </w:rPr>
            </w:pPr>
            <w:r>
              <w:rPr>
                <w:rFonts w:hint="eastAsia" w:hAnsi="宋体"/>
                <w:szCs w:val="22"/>
                <w:highlight w:val="none"/>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D1FC455">
            <w:pPr>
              <w:autoSpaceDE w:val="0"/>
              <w:autoSpaceDN w:val="0"/>
              <w:adjustRightInd w:val="0"/>
              <w:snapToGrid w:val="0"/>
              <w:jc w:val="center"/>
              <w:rPr>
                <w:rFonts w:hAnsi="宋体"/>
                <w:highlight w:val="none"/>
              </w:rPr>
            </w:pPr>
          </w:p>
        </w:tc>
      </w:tr>
      <w:tr w14:paraId="363C2FE2">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6AEE287F">
            <w:pPr>
              <w:autoSpaceDE w:val="0"/>
              <w:autoSpaceDN w:val="0"/>
              <w:adjustRightInd w:val="0"/>
              <w:snapToGrid w:val="0"/>
              <w:jc w:val="center"/>
              <w:rPr>
                <w:rFonts w:hAnsi="宋体"/>
                <w:highlight w:val="none"/>
              </w:rPr>
            </w:pPr>
            <w:r>
              <w:rPr>
                <w:rFonts w:hint="eastAsia" w:hAnsi="宋体"/>
                <w:szCs w:val="22"/>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760E064D">
            <w:pPr>
              <w:autoSpaceDE w:val="0"/>
              <w:autoSpaceDN w:val="0"/>
              <w:adjustRightInd w:val="0"/>
              <w:snapToGrid w:val="0"/>
              <w:jc w:val="center"/>
              <w:rPr>
                <w:rFonts w:hAnsi="宋体"/>
                <w:highlight w:val="none"/>
              </w:rPr>
            </w:pPr>
          </w:p>
        </w:tc>
      </w:tr>
      <w:tr w14:paraId="210F81FB">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57A7A7FE">
            <w:pPr>
              <w:autoSpaceDE w:val="0"/>
              <w:autoSpaceDN w:val="0"/>
              <w:adjustRightInd w:val="0"/>
              <w:snapToGrid w:val="0"/>
              <w:jc w:val="center"/>
              <w:rPr>
                <w:rFonts w:hint="eastAsia" w:hAnsi="宋体"/>
                <w:szCs w:val="22"/>
                <w:highlight w:val="none"/>
              </w:rPr>
            </w:pPr>
            <w:r>
              <w:rPr>
                <w:rFonts w:hAnsi="宋体"/>
                <w:szCs w:val="22"/>
                <w:highlight w:val="none"/>
              </w:rPr>
              <w:t>投标人关联</w:t>
            </w:r>
          </w:p>
          <w:p w14:paraId="06384F78">
            <w:pPr>
              <w:autoSpaceDE w:val="0"/>
              <w:autoSpaceDN w:val="0"/>
              <w:adjustRightInd w:val="0"/>
              <w:snapToGrid w:val="0"/>
              <w:jc w:val="center"/>
              <w:rPr>
                <w:szCs w:val="21"/>
                <w:highlight w:val="none"/>
              </w:rPr>
            </w:pPr>
            <w:r>
              <w:rPr>
                <w:rFonts w:hAnsi="宋体"/>
                <w:szCs w:val="22"/>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00725552">
            <w:pPr>
              <w:topLinePunct/>
              <w:ind w:firstLine="420" w:firstLineChars="200"/>
              <w:jc w:val="left"/>
              <w:rPr>
                <w:szCs w:val="21"/>
                <w:highlight w:val="none"/>
              </w:rPr>
            </w:pPr>
            <w:r>
              <w:rPr>
                <w:rFonts w:hint="eastAsia"/>
                <w:szCs w:val="21"/>
                <w:highlight w:val="none"/>
              </w:rPr>
              <w:t>投标人应提供关联企业情况，包括：</w:t>
            </w:r>
          </w:p>
          <w:p w14:paraId="055973F0">
            <w:pPr>
              <w:topLinePunct/>
              <w:ind w:firstLine="420" w:firstLineChars="200"/>
              <w:jc w:val="left"/>
              <w:rPr>
                <w:szCs w:val="21"/>
                <w:highlight w:val="none"/>
              </w:rPr>
            </w:pPr>
            <w:r>
              <w:rPr>
                <w:rFonts w:hint="eastAsia"/>
                <w:szCs w:val="21"/>
                <w:highlight w:val="none"/>
              </w:rPr>
              <w:t>（1）投标人的所有股东名称及相应股权（出资额）比例；如投标人为上市公司，投标人应提供股权占公司股份总数__%以上的所有股东名称及相应股权比例；</w:t>
            </w:r>
          </w:p>
          <w:p w14:paraId="3FDB5C31">
            <w:pPr>
              <w:topLinePunct/>
              <w:ind w:firstLine="420" w:firstLineChars="200"/>
              <w:jc w:val="left"/>
              <w:rPr>
                <w:szCs w:val="21"/>
                <w:highlight w:val="none"/>
              </w:rPr>
            </w:pPr>
            <w:r>
              <w:rPr>
                <w:rFonts w:hint="eastAsia"/>
                <w:szCs w:val="21"/>
                <w:highlight w:val="none"/>
              </w:rPr>
              <w:t>（2）投标人投资（控股）或管理的下属企业名称、持有股权（出资额）比例；</w:t>
            </w:r>
          </w:p>
          <w:p w14:paraId="4E5DC99D">
            <w:pPr>
              <w:topLinePunct/>
              <w:ind w:firstLine="420" w:firstLineChars="200"/>
              <w:jc w:val="left"/>
              <w:rPr>
                <w:szCs w:val="21"/>
                <w:highlight w:val="none"/>
              </w:rPr>
            </w:pPr>
            <w:r>
              <w:rPr>
                <w:rFonts w:hint="eastAsia"/>
                <w:szCs w:val="21"/>
                <w:highlight w:val="none"/>
              </w:rPr>
              <w:t>（3）与投标人单位负责人（即法定代表人）为同一人的其他单位名称。</w:t>
            </w:r>
          </w:p>
        </w:tc>
      </w:tr>
      <w:tr w14:paraId="5C2AEF75">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9CFF224">
            <w:pPr>
              <w:autoSpaceDE w:val="0"/>
              <w:autoSpaceDN w:val="0"/>
              <w:adjustRightInd w:val="0"/>
              <w:snapToGrid w:val="0"/>
              <w:jc w:val="center"/>
              <w:rPr>
                <w:rFonts w:hAnsi="宋体"/>
                <w:highlight w:val="none"/>
              </w:rPr>
            </w:pPr>
            <w:r>
              <w:rPr>
                <w:rFonts w:hint="eastAsia" w:hAnsi="宋体"/>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F336F2E">
            <w:pPr>
              <w:autoSpaceDE w:val="0"/>
              <w:autoSpaceDN w:val="0"/>
              <w:adjustRightInd w:val="0"/>
              <w:snapToGrid w:val="0"/>
              <w:jc w:val="center"/>
              <w:rPr>
                <w:rFonts w:hAnsi="宋体"/>
                <w:highlight w:val="none"/>
              </w:rPr>
            </w:pPr>
          </w:p>
        </w:tc>
      </w:tr>
    </w:tbl>
    <w:p w14:paraId="7FFC3AC2">
      <w:pPr>
        <w:autoSpaceDE w:val="0"/>
        <w:autoSpaceDN w:val="0"/>
        <w:adjustRightInd w:val="0"/>
        <w:spacing w:line="300" w:lineRule="exact"/>
        <w:jc w:val="left"/>
        <w:rPr>
          <w:rFonts w:hint="eastAsia" w:hAnsi="宋体"/>
          <w:szCs w:val="22"/>
          <w:highlight w:val="none"/>
        </w:rPr>
      </w:pPr>
    </w:p>
    <w:p w14:paraId="19C6F778">
      <w:pPr>
        <w:autoSpaceDE w:val="0"/>
        <w:autoSpaceDN w:val="0"/>
        <w:adjustRightInd w:val="0"/>
        <w:spacing w:line="300" w:lineRule="exact"/>
        <w:jc w:val="left"/>
        <w:rPr>
          <w:rFonts w:hint="eastAsia" w:hAnsi="宋体"/>
          <w:b/>
          <w:bCs/>
          <w:szCs w:val="22"/>
          <w:highlight w:val="none"/>
        </w:rPr>
      </w:pPr>
      <w:r>
        <w:rPr>
          <w:rFonts w:hint="eastAsia" w:hAnsi="宋体"/>
          <w:b/>
          <w:bCs/>
          <w:szCs w:val="22"/>
          <w:highlight w:val="none"/>
        </w:rPr>
        <w:t>注：</w:t>
      </w:r>
      <w:r>
        <w:rPr>
          <w:rFonts w:hint="eastAsia" w:hAnsi="宋体" w:cs="宋体"/>
          <w:b/>
          <w:bCs/>
          <w:szCs w:val="21"/>
          <w:highlight w:val="none"/>
        </w:rPr>
        <w:t>投标人应根据</w:t>
      </w:r>
      <w:r>
        <w:rPr>
          <w:rFonts w:hint="eastAsia" w:hAnsi="宋体" w:cs="宋体"/>
          <w:b/>
          <w:bCs/>
          <w:szCs w:val="21"/>
          <w:highlight w:val="none"/>
          <w:lang w:eastAsia="zh-CN"/>
        </w:rPr>
        <w:t>磋商文件相关评审</w:t>
      </w:r>
      <w:r>
        <w:rPr>
          <w:rFonts w:hint="eastAsia" w:hAnsi="宋体" w:cs="宋体"/>
          <w:b/>
          <w:bCs/>
          <w:szCs w:val="21"/>
          <w:highlight w:val="none"/>
        </w:rPr>
        <w:t>要求在本表后附</w:t>
      </w:r>
      <w:r>
        <w:rPr>
          <w:rFonts w:hint="eastAsia" w:hAnsi="宋体" w:cs="宋体"/>
          <w:b/>
          <w:bCs/>
          <w:sz w:val="24"/>
          <w:szCs w:val="24"/>
          <w:highlight w:val="none"/>
          <w:lang w:eastAsia="zh-CN"/>
        </w:rPr>
        <w:t>营业执照</w:t>
      </w:r>
      <w:r>
        <w:rPr>
          <w:rFonts w:hint="eastAsia" w:hAnsi="宋体" w:cs="宋体"/>
          <w:b/>
          <w:bCs/>
          <w:szCs w:val="21"/>
          <w:highlight w:val="none"/>
          <w:lang w:eastAsia="zh-CN"/>
        </w:rPr>
        <w:t>或</w:t>
      </w:r>
      <w:r>
        <w:rPr>
          <w:rFonts w:hint="eastAsia" w:ascii="宋体" w:hAnsi="宋体"/>
          <w:b/>
          <w:bCs/>
          <w:color w:val="auto"/>
          <w:sz w:val="24"/>
          <w:szCs w:val="24"/>
          <w:highlight w:val="none"/>
        </w:rPr>
        <w:t>事业单位法人证书</w:t>
      </w:r>
      <w:r>
        <w:rPr>
          <w:rFonts w:hint="eastAsia" w:ascii="宋体" w:hAnsi="宋体"/>
          <w:b/>
          <w:bCs/>
          <w:color w:val="auto"/>
          <w:sz w:val="24"/>
          <w:szCs w:val="24"/>
          <w:highlight w:val="none"/>
          <w:lang w:eastAsia="zh-CN"/>
        </w:rPr>
        <w:t>、</w:t>
      </w:r>
      <w:r>
        <w:rPr>
          <w:rFonts w:hint="eastAsia" w:hAnsi="宋体"/>
          <w:b/>
          <w:bCs/>
          <w:szCs w:val="22"/>
          <w:highlight w:val="none"/>
        </w:rPr>
        <w:t>资质证书、安全生产许可证等材料。</w:t>
      </w:r>
    </w:p>
    <w:p w14:paraId="6770C0ED">
      <w:pPr>
        <w:jc w:val="center"/>
        <w:outlineLvl w:val="9"/>
        <w:rPr>
          <w:rFonts w:hint="eastAsia" w:ascii="宋体" w:hAnsi="Times New Roman" w:eastAsia="宋体" w:cs="Times New Roman"/>
          <w:bCs w:val="0"/>
          <w:sz w:val="24"/>
          <w:highlight w:val="none"/>
          <w:lang w:val="en-US" w:eastAsia="zh-CN" w:bidi="ar-SA"/>
        </w:rPr>
      </w:pPr>
    </w:p>
    <w:p w14:paraId="7EE0182D">
      <w:pPr>
        <w:jc w:val="center"/>
        <w:outlineLvl w:val="9"/>
        <w:rPr>
          <w:rFonts w:hint="eastAsia" w:ascii="宋体" w:hAnsi="Times New Roman" w:eastAsia="宋体" w:cs="Times New Roman"/>
          <w:bCs w:val="0"/>
          <w:sz w:val="24"/>
          <w:highlight w:val="none"/>
          <w:lang w:val="en-US" w:eastAsia="zh-CN" w:bidi="ar-SA"/>
        </w:rPr>
      </w:pPr>
    </w:p>
    <w:bookmarkEnd w:id="52"/>
    <w:p w14:paraId="6D1F3A37">
      <w:pPr>
        <w:pStyle w:val="5"/>
        <w:jc w:val="center"/>
        <w:rPr>
          <w:rFonts w:ascii="宋体" w:hAnsi="Times New Roman" w:eastAsia="宋体"/>
          <w:bCs w:val="0"/>
        </w:rPr>
      </w:pPr>
      <w:bookmarkStart w:id="55" w:name="_Toc665"/>
      <w:bookmarkStart w:id="56" w:name="_Toc421917001"/>
      <w:bookmarkStart w:id="57" w:name="_Toc460227108"/>
      <w:bookmarkStart w:id="58" w:name="_Toc390411621"/>
      <w:bookmarkStart w:id="59" w:name="_Toc460660223"/>
      <w:bookmarkStart w:id="60" w:name="_Toc224103496"/>
      <w:r>
        <w:rPr>
          <w:rFonts w:hint="eastAsia" w:ascii="宋体" w:hAnsi="Times New Roman" w:eastAsia="宋体"/>
          <w:bCs w:val="0"/>
        </w:rPr>
        <w:t>三、投标函</w:t>
      </w:r>
      <w:bookmarkEnd w:id="55"/>
    </w:p>
    <w:p w14:paraId="0A9F754D">
      <w:pPr>
        <w:spacing w:line="360" w:lineRule="auto"/>
        <w:ind w:firstLine="420" w:firstLineChars="200"/>
        <w:rPr>
          <w:rFonts w:hAnsi="宋体"/>
          <w:dstrike/>
        </w:rPr>
      </w:pPr>
      <w:r>
        <w:rPr>
          <w:rFonts w:hint="eastAsia" w:hAnsi="宋体"/>
        </w:rPr>
        <w:t xml:space="preserve"> 根据贵方“</w:t>
      </w:r>
      <w:r>
        <w:rPr>
          <w:rFonts w:hint="eastAsia" w:hAnsi="宋体"/>
          <w:b/>
          <w:bCs/>
          <w:u w:val="single"/>
        </w:rPr>
        <w:t>（项目名称）</w:t>
      </w:r>
      <w:r>
        <w:rPr>
          <w:rFonts w:hint="eastAsia" w:hAnsi="宋体"/>
        </w:rPr>
        <w:t>”的招标邀请书或磋商公告，我方提交规定形式的响应文件。</w:t>
      </w:r>
    </w:p>
    <w:p w14:paraId="7B569C2B">
      <w:pPr>
        <w:spacing w:line="360" w:lineRule="auto"/>
        <w:ind w:firstLine="630"/>
        <w:rPr>
          <w:rFonts w:hAnsi="宋体"/>
        </w:rPr>
      </w:pPr>
      <w:r>
        <w:rPr>
          <w:rFonts w:hint="eastAsia" w:hAnsi="宋体"/>
        </w:rPr>
        <w:t>据此函，我方兹宣布同意如下：</w:t>
      </w:r>
    </w:p>
    <w:p w14:paraId="62ABA8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Ansi="宋体"/>
        </w:rPr>
      </w:pPr>
      <w:r>
        <w:rPr>
          <w:rFonts w:hint="eastAsia" w:hAnsi="宋体"/>
        </w:rPr>
        <w:t>1.我方按磋商文件规定提供服务的最终投标报价详见最终报价表，我方完全响应磋商文件规定的服务期限及付款和结算方式。</w:t>
      </w:r>
      <w:r>
        <w:rPr>
          <w:rFonts w:hint="eastAsia" w:ascii="宋体" w:hAnsi="宋体"/>
          <w:color w:val="000000"/>
        </w:rPr>
        <w:t>我方承诺在招标文件规定的投标</w:t>
      </w:r>
      <w:r>
        <w:rPr>
          <w:rFonts w:hint="eastAsia" w:ascii="宋体" w:hAnsi="宋体" w:eastAsia="宋体" w:cs="Times New Roman"/>
        </w:rPr>
        <w:t>有效期</w:t>
      </w:r>
      <w:r>
        <w:rPr>
          <w:rFonts w:hint="eastAsia" w:ascii="宋体" w:hAnsi="宋体"/>
          <w:color w:val="000000"/>
        </w:rPr>
        <w:t>内不撤销投标文件。 质量：</w:t>
      </w:r>
      <w:r>
        <w:rPr>
          <w:rFonts w:hint="eastAsia" w:ascii="宋体" w:hAnsi="宋体"/>
          <w:color w:val="000000"/>
          <w:u w:val="single"/>
        </w:rPr>
        <w:t>响应招标文件要求</w:t>
      </w:r>
      <w:r>
        <w:rPr>
          <w:rFonts w:hint="eastAsia" w:ascii="宋体" w:hAnsi="宋体"/>
          <w:color w:val="000000"/>
        </w:rPr>
        <w:t>；</w:t>
      </w:r>
      <w:r>
        <w:rPr>
          <w:rFonts w:ascii="Times New Roman" w:hAnsi="Times New Roman"/>
          <w:color w:val="000000"/>
          <w:szCs w:val="21"/>
        </w:rPr>
        <w:t>服务期限</w:t>
      </w:r>
      <w:r>
        <w:rPr>
          <w:rFonts w:hint="eastAsia" w:ascii="宋体" w:hAnsi="宋体"/>
          <w:color w:val="000000"/>
        </w:rPr>
        <w:t>：</w:t>
      </w:r>
      <w:r>
        <w:rPr>
          <w:rFonts w:hint="eastAsia" w:ascii="宋体" w:hAnsi="宋体"/>
          <w:color w:val="000000"/>
          <w:u w:val="single"/>
        </w:rPr>
        <w:t>响应招标文件要求</w:t>
      </w:r>
      <w:r>
        <w:rPr>
          <w:rFonts w:hint="eastAsia" w:ascii="宋体" w:hAnsi="宋体"/>
          <w:color w:val="000000"/>
        </w:rPr>
        <w:t>。</w:t>
      </w:r>
      <w:r>
        <w:rPr>
          <w:rFonts w:hint="eastAsia" w:hAnsi="宋体"/>
        </w:rPr>
        <w:t>如我方中标，我方承诺愿意按磋商文件规定交纳履约保证金。</w:t>
      </w:r>
    </w:p>
    <w:p w14:paraId="19C44149">
      <w:pPr>
        <w:keepNext w:val="0"/>
        <w:keepLines w:val="0"/>
        <w:pageBreakBefore w:val="0"/>
        <w:widowControl w:val="0"/>
        <w:kinsoku/>
        <w:wordWrap/>
        <w:overflowPunct/>
        <w:topLinePunct w:val="0"/>
        <w:autoSpaceDE/>
        <w:autoSpaceDN/>
        <w:bidi w:val="0"/>
        <w:adjustRightInd/>
        <w:snapToGrid/>
        <w:spacing w:line="440" w:lineRule="exact"/>
        <w:ind w:firstLine="630"/>
        <w:textAlignment w:val="auto"/>
        <w:rPr>
          <w:rFonts w:hAnsi="宋体"/>
        </w:rPr>
      </w:pPr>
      <w:r>
        <w:rPr>
          <w:rFonts w:hint="eastAsia" w:hAnsi="宋体"/>
        </w:rPr>
        <w:t>2.我方根据磋商文件的规定，严格履行合同的责任和义务</w:t>
      </w:r>
      <w:r>
        <w:rPr>
          <w:rFonts w:hAnsi="宋体"/>
        </w:rPr>
        <w:t>,</w:t>
      </w:r>
      <w:r>
        <w:rPr>
          <w:rFonts w:hint="eastAsia" w:hAnsi="宋体"/>
        </w:rPr>
        <w:t>并保证于买方要求的日期内完成服务，并通过买方验收。</w:t>
      </w:r>
    </w:p>
    <w:p w14:paraId="01778F6E">
      <w:pPr>
        <w:keepNext w:val="0"/>
        <w:keepLines w:val="0"/>
        <w:pageBreakBefore w:val="0"/>
        <w:widowControl w:val="0"/>
        <w:kinsoku/>
        <w:wordWrap/>
        <w:overflowPunct/>
        <w:topLinePunct w:val="0"/>
        <w:autoSpaceDE/>
        <w:autoSpaceDN/>
        <w:bidi w:val="0"/>
        <w:adjustRightInd/>
        <w:snapToGrid/>
        <w:spacing w:line="440" w:lineRule="exact"/>
        <w:ind w:firstLine="630"/>
        <w:textAlignment w:val="auto"/>
        <w:rPr>
          <w:rFonts w:hAnsi="宋体"/>
        </w:rPr>
      </w:pPr>
      <w:r>
        <w:rPr>
          <w:rFonts w:hint="eastAsia" w:hAnsi="宋体"/>
        </w:rPr>
        <w:t>3.我方承诺报价低于</w:t>
      </w:r>
      <w:r>
        <w:rPr>
          <w:rFonts w:hAnsi="宋体"/>
        </w:rPr>
        <w:t>同类服务的市场平均价格。</w:t>
      </w:r>
    </w:p>
    <w:p w14:paraId="1C6CFB07">
      <w:pPr>
        <w:keepNext w:val="0"/>
        <w:keepLines w:val="0"/>
        <w:pageBreakBefore w:val="0"/>
        <w:widowControl w:val="0"/>
        <w:kinsoku/>
        <w:wordWrap/>
        <w:overflowPunct/>
        <w:topLinePunct w:val="0"/>
        <w:autoSpaceDE/>
        <w:autoSpaceDN/>
        <w:bidi w:val="0"/>
        <w:adjustRightInd/>
        <w:snapToGrid/>
        <w:spacing w:line="440" w:lineRule="exact"/>
        <w:ind w:firstLine="630"/>
        <w:textAlignment w:val="auto"/>
        <w:rPr>
          <w:rFonts w:hAnsi="宋体"/>
        </w:rPr>
      </w:pPr>
      <w:r>
        <w:rPr>
          <w:rFonts w:hint="eastAsia" w:hAnsi="宋体"/>
        </w:rPr>
        <w:t>4.我方已详细审核全部磋商文件，包括磋商文件的答疑、澄清、变更或补充（如有），参考资料及有关附件，我方正式认可并遵守本次磋商文件，并对磋商文件各项条款（包括磋商时间）、规定及要求均无异议。我方知道必须放弃提出含糊不清或误解的问题的权利。</w:t>
      </w:r>
    </w:p>
    <w:p w14:paraId="2F2D1021">
      <w:pPr>
        <w:spacing w:line="360" w:lineRule="auto"/>
        <w:ind w:firstLine="525" w:firstLineChars="250"/>
        <w:rPr>
          <w:rFonts w:hAnsi="宋体"/>
        </w:rPr>
      </w:pPr>
      <w:r>
        <w:rPr>
          <w:rFonts w:hint="eastAsia" w:hAnsi="宋体"/>
        </w:rPr>
        <w:t>5.我方同意从磋商文件规定的磋商日期起遵循本响应文件，并在磋商文件规定的投标有效期之前均具有约束力。</w:t>
      </w:r>
    </w:p>
    <w:p w14:paraId="6084BF5D">
      <w:pPr>
        <w:spacing w:line="360" w:lineRule="auto"/>
        <w:ind w:firstLine="420" w:firstLineChars="200"/>
        <w:rPr>
          <w:rFonts w:ascii="Calibri" w:hAnsi="Calibri"/>
          <w:szCs w:val="24"/>
        </w:rPr>
      </w:pPr>
      <w:r>
        <w:rPr>
          <w:rFonts w:hint="eastAsia" w:hAnsi="宋体"/>
          <w:szCs w:val="22"/>
        </w:rPr>
        <w:t>6.</w:t>
      </w:r>
      <w:r>
        <w:rPr>
          <w:rFonts w:hint="eastAsia" w:ascii="Calibri" w:hAnsi="Calibri"/>
          <w:szCs w:val="24"/>
        </w:rPr>
        <w:t>我方承诺如</w:t>
      </w:r>
      <w:r>
        <w:rPr>
          <w:rFonts w:hint="eastAsia" w:hAnsi="宋体"/>
          <w:snapToGrid w:val="0"/>
          <w:szCs w:val="24"/>
        </w:rPr>
        <w:t>磋商</w:t>
      </w:r>
      <w:r>
        <w:rPr>
          <w:rFonts w:hint="eastAsia" w:ascii="Calibri" w:hAnsi="Calibri"/>
          <w:szCs w:val="24"/>
        </w:rPr>
        <w:t>保证金未按</w:t>
      </w:r>
      <w:r>
        <w:rPr>
          <w:rFonts w:hint="eastAsia" w:hAnsi="宋体"/>
          <w:snapToGrid w:val="0"/>
          <w:szCs w:val="24"/>
        </w:rPr>
        <w:t>磋商</w:t>
      </w:r>
      <w:r>
        <w:rPr>
          <w:rFonts w:hint="eastAsia" w:ascii="Calibri" w:hAnsi="Calibri"/>
          <w:szCs w:val="24"/>
        </w:rPr>
        <w:t>文件规定递交，我方投标无效，由此产生的一切后果由我方承担；如果在开标后规定的投标有效期内撤回投标，我方的</w:t>
      </w:r>
      <w:r>
        <w:rPr>
          <w:rFonts w:hint="eastAsia" w:hAnsi="宋体"/>
          <w:snapToGrid w:val="0"/>
          <w:szCs w:val="24"/>
        </w:rPr>
        <w:t>磋商</w:t>
      </w:r>
      <w:r>
        <w:rPr>
          <w:rFonts w:hint="eastAsia" w:ascii="Calibri" w:hAnsi="Calibri"/>
          <w:szCs w:val="24"/>
        </w:rPr>
        <w:t>保证金贵方可不予退还。</w:t>
      </w:r>
    </w:p>
    <w:p w14:paraId="2E64AC77">
      <w:pPr>
        <w:spacing w:line="360" w:lineRule="auto"/>
        <w:ind w:firstLine="525" w:firstLineChars="250"/>
        <w:rPr>
          <w:rFonts w:hAnsi="宋体"/>
        </w:rPr>
      </w:pPr>
      <w:r>
        <w:rPr>
          <w:rFonts w:hint="eastAsia" w:hAnsi="宋体"/>
        </w:rPr>
        <w:t>7.我方声明响应文件所提供的一切资料均真实无误、及时、有效。企业运营正常（</w:t>
      </w:r>
      <w:r>
        <w:rPr>
          <w:rFonts w:hAnsi="宋体"/>
        </w:rPr>
        <w:t>注册登记信息、年报信息</w:t>
      </w:r>
      <w:r>
        <w:rPr>
          <w:rFonts w:hint="eastAsia" w:hAnsi="宋体"/>
        </w:rPr>
        <w:t>可查）。由于我方提供资料不实而造成的责任和后果由我方承担。我方同意按照贵方提出的要求，提供与投标有关的任何证据、数据或资料。</w:t>
      </w:r>
    </w:p>
    <w:p w14:paraId="2F2D8967">
      <w:pPr>
        <w:spacing w:line="360" w:lineRule="auto"/>
        <w:ind w:firstLine="550" w:firstLineChars="262"/>
        <w:rPr>
          <w:rFonts w:hAnsi="宋体"/>
        </w:rPr>
      </w:pPr>
      <w:r>
        <w:rPr>
          <w:rFonts w:hint="eastAsia" w:hAnsi="宋体"/>
        </w:rPr>
        <w:t>8.我方完全理解贵方不一定接受最低报价的投标。</w:t>
      </w:r>
    </w:p>
    <w:p w14:paraId="14546C4A">
      <w:pPr>
        <w:spacing w:line="360" w:lineRule="auto"/>
        <w:ind w:firstLine="550" w:firstLineChars="262"/>
        <w:rPr>
          <w:rFonts w:hAnsi="宋体"/>
        </w:rPr>
      </w:pPr>
      <w:r>
        <w:rPr>
          <w:rFonts w:hint="eastAsia" w:hAnsi="宋体"/>
        </w:rPr>
        <w:t>9.我方承诺不存在第一章磋商邀请（磋商公告）“二、投标人资格”中“投标人存在以下不良信用记录情形”规定的任何一种情形。</w:t>
      </w:r>
    </w:p>
    <w:p w14:paraId="55802E56">
      <w:pPr>
        <w:spacing w:line="360" w:lineRule="auto"/>
        <w:ind w:firstLine="550" w:firstLineChars="262"/>
        <w:rPr>
          <w:rFonts w:hAnsi="宋体"/>
        </w:rPr>
      </w:pPr>
      <w:r>
        <w:rPr>
          <w:rFonts w:hint="eastAsia" w:hAnsi="宋体"/>
        </w:rPr>
        <w:t>10.我方同意磋商文件规定的付款方式及结算方式。</w:t>
      </w:r>
    </w:p>
    <w:p w14:paraId="0290C9BA">
      <w:pPr>
        <w:spacing w:line="360" w:lineRule="auto"/>
        <w:ind w:firstLine="550" w:firstLineChars="262"/>
        <w:rPr>
          <w:rFonts w:hAnsi="宋体"/>
        </w:rPr>
      </w:pPr>
      <w:r>
        <w:rPr>
          <w:rFonts w:hint="eastAsia" w:hAnsi="宋体"/>
        </w:rPr>
        <w:t>11.在你方和我方进行合同磋商之前，我方将按照响应文件中填报人员及磋商文件提出的最低要求填报派驻本标段的其他管理和技术人员及主要机械设备，经你方审批后作为派驻本标段的项目管理机构主要人员和主要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1B732B7">
      <w:pPr>
        <w:spacing w:line="360" w:lineRule="auto"/>
        <w:ind w:firstLine="630"/>
        <w:rPr>
          <w:rFonts w:hAnsi="宋体"/>
          <w:u w:val="single"/>
        </w:rPr>
      </w:pPr>
      <w:r>
        <w:rPr>
          <w:rFonts w:hint="eastAsia" w:hAnsi="宋体"/>
        </w:rPr>
        <w:t>13.与本投标有关的通讯地址：</w:t>
      </w:r>
      <w:r>
        <w:rPr>
          <w:rFonts w:hint="eastAsia" w:hAnsi="宋体"/>
          <w:u w:val="single"/>
        </w:rPr>
        <w:t xml:space="preserve">                                  </w:t>
      </w:r>
    </w:p>
    <w:p w14:paraId="41EE7BAC">
      <w:pPr>
        <w:spacing w:line="360" w:lineRule="auto"/>
        <w:ind w:firstLine="630"/>
        <w:rPr>
          <w:rFonts w:hAnsi="宋体"/>
          <w:u w:val="single"/>
        </w:rPr>
      </w:pPr>
      <w:r>
        <w:rPr>
          <w:rFonts w:hint="eastAsia" w:hAnsi="宋体"/>
        </w:rPr>
        <w:t>电    话：</w:t>
      </w:r>
      <w:r>
        <w:rPr>
          <w:rFonts w:hint="eastAsia" w:hAnsi="宋体"/>
          <w:u w:val="single"/>
        </w:rPr>
        <w:t xml:space="preserve">                      </w:t>
      </w:r>
      <w:r>
        <w:rPr>
          <w:rFonts w:hint="eastAsia" w:hAnsi="宋体"/>
        </w:rPr>
        <w:t>传    真：</w:t>
      </w:r>
      <w:r>
        <w:rPr>
          <w:rFonts w:hint="eastAsia" w:hAnsi="宋体"/>
          <w:u w:val="single"/>
        </w:rPr>
        <w:t xml:space="preserve">                 </w:t>
      </w:r>
    </w:p>
    <w:p w14:paraId="2425B73C">
      <w:pPr>
        <w:spacing w:line="360" w:lineRule="auto"/>
        <w:ind w:firstLine="630"/>
        <w:rPr>
          <w:rFonts w:hAnsi="宋体"/>
        </w:rPr>
      </w:pPr>
      <w:r>
        <w:rPr>
          <w:rFonts w:hint="eastAsia" w:hAnsi="宋体"/>
        </w:rPr>
        <w:t>投标人基本账户开户名：</w:t>
      </w:r>
      <w:r>
        <w:rPr>
          <w:rFonts w:hint="eastAsia" w:hAnsi="宋体"/>
          <w:u w:val="single"/>
        </w:rPr>
        <w:t xml:space="preserve">           </w:t>
      </w:r>
      <w:r>
        <w:rPr>
          <w:rFonts w:hint="eastAsia" w:hAnsi="宋体"/>
        </w:rPr>
        <w:t xml:space="preserve"> 账号：</w:t>
      </w:r>
      <w:r>
        <w:rPr>
          <w:rFonts w:hint="eastAsia" w:hAnsi="宋体"/>
          <w:u w:val="single"/>
        </w:rPr>
        <w:t xml:space="preserve">            </w:t>
      </w:r>
      <w:r>
        <w:rPr>
          <w:rFonts w:hint="eastAsia" w:hAnsi="宋体"/>
        </w:rPr>
        <w:t xml:space="preserve"> </w:t>
      </w:r>
    </w:p>
    <w:p w14:paraId="7288FF81">
      <w:pPr>
        <w:spacing w:line="360" w:lineRule="auto"/>
        <w:ind w:firstLine="630"/>
        <w:rPr>
          <w:rFonts w:hAnsi="宋体"/>
          <w:u w:val="single"/>
        </w:rPr>
      </w:pPr>
      <w:r>
        <w:rPr>
          <w:rFonts w:hint="eastAsia" w:hAnsi="宋体"/>
        </w:rPr>
        <w:t>开户行：</w:t>
      </w:r>
      <w:r>
        <w:rPr>
          <w:rFonts w:hint="eastAsia" w:hAnsi="宋体"/>
          <w:u w:val="single"/>
        </w:rPr>
        <w:t xml:space="preserve">            </w:t>
      </w:r>
    </w:p>
    <w:p w14:paraId="777E6DBD">
      <w:pPr>
        <w:spacing w:line="360" w:lineRule="auto"/>
        <w:ind w:firstLine="630"/>
        <w:rPr>
          <w:rFonts w:hint="eastAsia" w:hAnsi="宋体"/>
          <w:u w:val="single"/>
        </w:rPr>
      </w:pPr>
      <w:r>
        <w:rPr>
          <w:rFonts w:hint="eastAsia" w:hAnsi="宋体"/>
        </w:rPr>
        <w:t xml:space="preserve">投标人签章： </w:t>
      </w:r>
      <w:r>
        <w:rPr>
          <w:rFonts w:hint="eastAsia" w:hAnsi="宋体"/>
          <w:u w:val="single"/>
        </w:rPr>
        <w:t xml:space="preserve">                     </w:t>
      </w:r>
      <w:r>
        <w:rPr>
          <w:rFonts w:hint="eastAsia" w:hAnsi="宋体"/>
        </w:rPr>
        <w:t>日    期：</w:t>
      </w:r>
      <w:r>
        <w:rPr>
          <w:rFonts w:hint="eastAsia" w:hAnsi="宋体"/>
          <w:u w:val="single"/>
        </w:rPr>
        <w:t xml:space="preserve">                     </w:t>
      </w:r>
    </w:p>
    <w:p w14:paraId="6C8EFEF6">
      <w:pPr>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br w:type="page"/>
      </w:r>
    </w:p>
    <w:p w14:paraId="49EB8EEB">
      <w:pPr>
        <w:spacing w:line="360" w:lineRule="auto"/>
        <w:ind w:firstLine="630"/>
        <w:rPr>
          <w:rFonts w:hint="eastAsia"/>
          <w:highlight w:val="none"/>
        </w:rPr>
      </w:pPr>
      <w:r>
        <w:rPr>
          <w:rFonts w:hint="eastAsia" w:ascii="宋体" w:hAnsi="Times New Roman" w:eastAsia="宋体" w:cs="Times New Roman"/>
          <w:bCs w:val="0"/>
          <w:sz w:val="24"/>
          <w:highlight w:val="none"/>
          <w:lang w:val="en-US" w:eastAsia="zh-CN" w:bidi="ar-SA"/>
        </w:rPr>
        <w:t>四、法定代表人身份证明或授权委托书</w:t>
      </w:r>
      <w:bookmarkEnd w:id="56"/>
      <w:bookmarkEnd w:id="57"/>
      <w:bookmarkEnd w:id="58"/>
      <w:bookmarkEnd w:id="59"/>
    </w:p>
    <w:p w14:paraId="5F026F8E">
      <w:pPr>
        <w:spacing w:line="360" w:lineRule="auto"/>
        <w:ind w:firstLine="1164" w:firstLineChars="414"/>
        <w:rPr>
          <w:rFonts w:hAnsi="宋体"/>
          <w:b/>
          <w:bCs/>
          <w:sz w:val="28"/>
          <w:szCs w:val="22"/>
          <w:highlight w:val="none"/>
        </w:rPr>
      </w:pPr>
    </w:p>
    <w:p w14:paraId="32E2660A">
      <w:pPr>
        <w:jc w:val="center"/>
        <w:rPr>
          <w:rFonts w:hint="eastAsia" w:ascii="黑体" w:hAnsi="黑体" w:eastAsia="黑体"/>
          <w:bCs/>
          <w:highlight w:val="none"/>
        </w:rPr>
      </w:pPr>
      <w:r>
        <w:rPr>
          <w:rFonts w:hint="eastAsia" w:ascii="黑体" w:hAnsi="黑体" w:eastAsia="黑体"/>
          <w:bCs/>
          <w:highlight w:val="none"/>
        </w:rPr>
        <w:t>法定代表人身份证明</w:t>
      </w:r>
    </w:p>
    <w:p w14:paraId="011DD4EF">
      <w:pPr>
        <w:ind w:left="765"/>
        <w:rPr>
          <w:rFonts w:hAnsi="宋体"/>
          <w:szCs w:val="22"/>
          <w:highlight w:val="none"/>
        </w:rPr>
      </w:pPr>
    </w:p>
    <w:p w14:paraId="0B639826">
      <w:pPr>
        <w:spacing w:line="500" w:lineRule="exact"/>
        <w:rPr>
          <w:rFonts w:hint="eastAsia" w:hAnsi="宋体"/>
          <w:szCs w:val="21"/>
          <w:highlight w:val="none"/>
        </w:rPr>
      </w:pPr>
      <w:r>
        <w:rPr>
          <w:rFonts w:hint="eastAsia" w:hAnsi="宋体"/>
          <w:szCs w:val="21"/>
          <w:highlight w:val="none"/>
        </w:rPr>
        <w:t>投 标 人：</w:t>
      </w:r>
      <w:r>
        <w:rPr>
          <w:rFonts w:hint="eastAsia" w:hAnsi="宋体"/>
          <w:szCs w:val="21"/>
          <w:highlight w:val="none"/>
          <w:u w:val="single"/>
        </w:rPr>
        <w:t xml:space="preserve">                                                        </w:t>
      </w:r>
    </w:p>
    <w:p w14:paraId="5B2B364F">
      <w:pPr>
        <w:spacing w:line="500" w:lineRule="exact"/>
        <w:rPr>
          <w:rFonts w:hint="eastAsia" w:hAnsi="宋体"/>
          <w:szCs w:val="21"/>
          <w:highlight w:val="none"/>
        </w:rPr>
      </w:pPr>
      <w:r>
        <w:rPr>
          <w:rFonts w:hint="eastAsia" w:hAnsi="宋体"/>
          <w:szCs w:val="21"/>
          <w:highlight w:val="none"/>
        </w:rPr>
        <w:t>单位性质：</w:t>
      </w:r>
      <w:r>
        <w:rPr>
          <w:rFonts w:hint="eastAsia" w:hAnsi="宋体"/>
          <w:szCs w:val="21"/>
          <w:highlight w:val="none"/>
          <w:u w:val="single"/>
        </w:rPr>
        <w:t xml:space="preserve">                                                        </w:t>
      </w:r>
    </w:p>
    <w:p w14:paraId="1441FEB6">
      <w:pPr>
        <w:spacing w:line="500" w:lineRule="exact"/>
        <w:rPr>
          <w:rFonts w:hint="eastAsia" w:hAnsi="宋体"/>
          <w:szCs w:val="21"/>
          <w:highlight w:val="none"/>
        </w:rPr>
      </w:pPr>
      <w:r>
        <w:rPr>
          <w:rFonts w:hint="eastAsia" w:hAnsi="宋体"/>
          <w:szCs w:val="21"/>
          <w:highlight w:val="none"/>
        </w:rPr>
        <w:t>地    址：</w:t>
      </w:r>
      <w:r>
        <w:rPr>
          <w:rFonts w:hint="eastAsia" w:hAnsi="宋体"/>
          <w:szCs w:val="21"/>
          <w:highlight w:val="none"/>
          <w:u w:val="single"/>
        </w:rPr>
        <w:t xml:space="preserve">                                                        </w:t>
      </w:r>
    </w:p>
    <w:p w14:paraId="2CD1C2BF">
      <w:pPr>
        <w:spacing w:line="500" w:lineRule="exact"/>
        <w:rPr>
          <w:rFonts w:hint="eastAsia" w:hAnsi="宋体"/>
          <w:szCs w:val="21"/>
          <w:highlight w:val="none"/>
        </w:rPr>
      </w:pPr>
      <w:r>
        <w:rPr>
          <w:rFonts w:hint="eastAsia" w:hAnsi="宋体"/>
          <w:szCs w:val="21"/>
          <w:highlight w:val="none"/>
        </w:rPr>
        <w:t>成立时间：</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w:t>
      </w:r>
    </w:p>
    <w:p w14:paraId="2E881A0A">
      <w:pPr>
        <w:spacing w:line="500" w:lineRule="exact"/>
        <w:rPr>
          <w:rFonts w:hint="eastAsia" w:hAnsi="宋体"/>
          <w:szCs w:val="21"/>
          <w:highlight w:val="none"/>
        </w:rPr>
      </w:pPr>
      <w:r>
        <w:rPr>
          <w:rFonts w:hint="eastAsia" w:hAnsi="宋体"/>
          <w:szCs w:val="21"/>
          <w:highlight w:val="none"/>
        </w:rPr>
        <w:t>经营期限：</w:t>
      </w:r>
      <w:r>
        <w:rPr>
          <w:rFonts w:hint="eastAsia" w:hAnsi="宋体"/>
          <w:szCs w:val="21"/>
          <w:highlight w:val="none"/>
          <w:u w:val="single"/>
        </w:rPr>
        <w:t xml:space="preserve">                                                        </w:t>
      </w:r>
    </w:p>
    <w:p w14:paraId="1CB79AED">
      <w:pPr>
        <w:spacing w:line="500" w:lineRule="exact"/>
        <w:rPr>
          <w:rFonts w:hint="eastAsia" w:hAnsi="宋体"/>
          <w:szCs w:val="21"/>
          <w:highlight w:val="none"/>
        </w:rPr>
      </w:pPr>
      <w:r>
        <w:rPr>
          <w:rFonts w:hint="eastAsia" w:hAnsi="宋体"/>
          <w:szCs w:val="21"/>
          <w:highlight w:val="none"/>
        </w:rPr>
        <w:t>姓    名：</w:t>
      </w:r>
      <w:r>
        <w:rPr>
          <w:rFonts w:hint="eastAsia" w:hAnsi="宋体"/>
          <w:szCs w:val="21"/>
          <w:highlight w:val="none"/>
          <w:u w:val="single"/>
        </w:rPr>
        <w:t xml:space="preserve">                          </w:t>
      </w:r>
      <w:r>
        <w:rPr>
          <w:rFonts w:hint="eastAsia" w:hAnsi="宋体"/>
          <w:szCs w:val="21"/>
          <w:highlight w:val="none"/>
        </w:rPr>
        <w:t>性        别：</w:t>
      </w:r>
      <w:r>
        <w:rPr>
          <w:rFonts w:hint="eastAsia" w:hAnsi="宋体"/>
          <w:szCs w:val="21"/>
          <w:highlight w:val="none"/>
          <w:u w:val="single"/>
        </w:rPr>
        <w:t xml:space="preserve">                </w:t>
      </w:r>
    </w:p>
    <w:p w14:paraId="66E14EF5">
      <w:pPr>
        <w:spacing w:line="500" w:lineRule="exact"/>
        <w:rPr>
          <w:rFonts w:hint="eastAsia" w:hAnsi="宋体"/>
          <w:szCs w:val="21"/>
          <w:highlight w:val="none"/>
          <w:u w:val="single"/>
        </w:rPr>
      </w:pPr>
      <w:r>
        <w:rPr>
          <w:rFonts w:hint="eastAsia" w:hAnsi="宋体"/>
          <w:szCs w:val="21"/>
          <w:highlight w:val="none"/>
        </w:rPr>
        <w:t>年    龄：</w:t>
      </w:r>
      <w:r>
        <w:rPr>
          <w:rFonts w:hint="eastAsia" w:hAnsi="宋体"/>
          <w:szCs w:val="21"/>
          <w:highlight w:val="none"/>
          <w:u w:val="single"/>
        </w:rPr>
        <w:t xml:space="preserve">                          </w:t>
      </w:r>
      <w:r>
        <w:rPr>
          <w:rFonts w:hint="eastAsia" w:hAnsi="宋体"/>
          <w:szCs w:val="21"/>
          <w:highlight w:val="none"/>
        </w:rPr>
        <w:t>职        务：</w:t>
      </w:r>
      <w:r>
        <w:rPr>
          <w:rFonts w:hint="eastAsia" w:hAnsi="宋体"/>
          <w:szCs w:val="21"/>
          <w:highlight w:val="none"/>
          <w:u w:val="single"/>
        </w:rPr>
        <w:t xml:space="preserve">                </w:t>
      </w:r>
    </w:p>
    <w:p w14:paraId="73B4F9C9">
      <w:pPr>
        <w:spacing w:line="500" w:lineRule="exact"/>
        <w:rPr>
          <w:rFonts w:hint="eastAsia" w:hAnsi="宋体"/>
          <w:szCs w:val="21"/>
          <w:highlight w:val="none"/>
          <w:u w:val="single"/>
        </w:rPr>
      </w:pPr>
      <w:r>
        <w:rPr>
          <w:rFonts w:hint="eastAsia" w:hAnsi="宋体"/>
          <w:szCs w:val="21"/>
          <w:highlight w:val="none"/>
        </w:rPr>
        <w:t>联系电话：</w:t>
      </w:r>
      <w:r>
        <w:rPr>
          <w:rFonts w:hint="eastAsia" w:hAnsi="宋体"/>
          <w:szCs w:val="21"/>
          <w:highlight w:val="none"/>
          <w:u w:val="single"/>
        </w:rPr>
        <w:t xml:space="preserve">                          </w:t>
      </w:r>
      <w:r>
        <w:rPr>
          <w:rFonts w:hint="eastAsia" w:hAnsi="宋体"/>
          <w:szCs w:val="21"/>
          <w:highlight w:val="none"/>
        </w:rPr>
        <w:t>手 机  号 码：</w:t>
      </w:r>
      <w:r>
        <w:rPr>
          <w:rFonts w:hint="eastAsia" w:hAnsi="宋体"/>
          <w:szCs w:val="21"/>
          <w:highlight w:val="none"/>
          <w:u w:val="single"/>
        </w:rPr>
        <w:t xml:space="preserve">                </w:t>
      </w:r>
    </w:p>
    <w:p w14:paraId="0D2F113C">
      <w:pPr>
        <w:spacing w:line="500" w:lineRule="exact"/>
        <w:rPr>
          <w:rFonts w:hint="eastAsia" w:hAnsi="宋体"/>
          <w:szCs w:val="21"/>
          <w:highlight w:val="none"/>
        </w:rPr>
      </w:pPr>
      <w:r>
        <w:rPr>
          <w:rFonts w:hint="eastAsia" w:hAnsi="宋体"/>
          <w:szCs w:val="21"/>
          <w:highlight w:val="none"/>
        </w:rPr>
        <w:t>系</w:t>
      </w:r>
      <w:r>
        <w:rPr>
          <w:rFonts w:hint="eastAsia" w:hAnsi="宋体"/>
          <w:szCs w:val="21"/>
          <w:highlight w:val="none"/>
          <w:u w:val="single"/>
        </w:rPr>
        <w:t xml:space="preserve">                                                 </w:t>
      </w:r>
      <w:r>
        <w:rPr>
          <w:rFonts w:hint="eastAsia" w:hAnsi="宋体"/>
          <w:szCs w:val="21"/>
          <w:highlight w:val="none"/>
        </w:rPr>
        <w:t>（投标人名称）的法定代表人。</w:t>
      </w:r>
    </w:p>
    <w:p w14:paraId="2C408BF8">
      <w:pPr>
        <w:spacing w:line="500" w:lineRule="exact"/>
        <w:rPr>
          <w:rFonts w:hint="eastAsia" w:hAnsi="宋体"/>
          <w:szCs w:val="21"/>
          <w:highlight w:val="none"/>
        </w:rPr>
      </w:pPr>
      <w:r>
        <w:rPr>
          <w:rFonts w:hint="eastAsia" w:hAnsi="宋体"/>
          <w:szCs w:val="21"/>
          <w:highlight w:val="none"/>
        </w:rPr>
        <w:t>特此证明。</w:t>
      </w:r>
    </w:p>
    <w:p w14:paraId="7C239391">
      <w:pPr>
        <w:spacing w:line="500" w:lineRule="exact"/>
        <w:rPr>
          <w:rFonts w:hint="eastAsia" w:hAnsi="宋体"/>
          <w:szCs w:val="21"/>
          <w:highlight w:val="none"/>
        </w:rPr>
      </w:pPr>
      <w:r>
        <w:rPr>
          <w:rFonts w:hint="eastAsia" w:hAnsi="宋体"/>
          <w:szCs w:val="21"/>
          <w:highlight w:val="none"/>
        </w:rPr>
        <w:t>附：法定代表人身份证扫描件</w:t>
      </w:r>
    </w:p>
    <w:p w14:paraId="72FB6465">
      <w:pPr>
        <w:spacing w:line="500" w:lineRule="exact"/>
        <w:rPr>
          <w:rFonts w:hint="eastAsia" w:hAnsi="宋体"/>
          <w:szCs w:val="21"/>
          <w:highlight w:val="none"/>
        </w:rPr>
      </w:pPr>
    </w:p>
    <w:p w14:paraId="0A249268">
      <w:pPr>
        <w:wordWrap w:val="0"/>
        <w:spacing w:line="500" w:lineRule="exact"/>
        <w:jc w:val="right"/>
        <w:rPr>
          <w:rFonts w:hint="eastAsia" w:hAnsi="宋体"/>
          <w:szCs w:val="21"/>
          <w:highlight w:val="none"/>
        </w:rPr>
      </w:pPr>
    </w:p>
    <w:p w14:paraId="2C3986C6">
      <w:pPr>
        <w:spacing w:line="500" w:lineRule="exact"/>
        <w:jc w:val="right"/>
        <w:rPr>
          <w:rFonts w:hint="eastAsia" w:hAnsi="宋体"/>
          <w:szCs w:val="21"/>
          <w:highlight w:val="none"/>
        </w:rPr>
      </w:pPr>
      <w:r>
        <w:rPr>
          <w:rFonts w:hint="eastAsia" w:hAnsi="宋体"/>
          <w:szCs w:val="21"/>
          <w:highlight w:val="none"/>
        </w:rPr>
        <w:t>投标人：</w:t>
      </w:r>
      <w:r>
        <w:rPr>
          <w:rFonts w:hint="eastAsia" w:hAnsi="宋体"/>
          <w:szCs w:val="21"/>
          <w:highlight w:val="none"/>
          <w:u w:val="single"/>
        </w:rPr>
        <w:t xml:space="preserve">                          </w:t>
      </w:r>
      <w:r>
        <w:rPr>
          <w:rFonts w:hint="eastAsia" w:hAnsi="宋体"/>
          <w:szCs w:val="21"/>
          <w:highlight w:val="none"/>
        </w:rPr>
        <w:t>（盖单位章）</w:t>
      </w:r>
    </w:p>
    <w:p w14:paraId="6F33C0DB">
      <w:pPr>
        <w:spacing w:before="48" w:beforeLines="20" w:after="48" w:afterLines="20" w:line="540" w:lineRule="exact"/>
        <w:ind w:firstLine="210" w:firstLineChars="100"/>
        <w:jc w:val="right"/>
        <w:rPr>
          <w:rFonts w:hint="eastAsia" w:hAnsi="宋体"/>
          <w:szCs w:val="22"/>
          <w:highlight w:val="none"/>
        </w:rPr>
      </w:pP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w:t>
      </w:r>
    </w:p>
    <w:p w14:paraId="61CDDB33">
      <w:pPr>
        <w:spacing w:before="48" w:beforeLines="20" w:after="48" w:afterLines="20" w:line="540" w:lineRule="exact"/>
        <w:ind w:firstLine="3360" w:firstLineChars="1600"/>
        <w:rPr>
          <w:rFonts w:hint="eastAsia" w:hAnsi="宋体"/>
          <w:szCs w:val="22"/>
          <w:highlight w:val="none"/>
        </w:rPr>
      </w:pPr>
    </w:p>
    <w:p w14:paraId="3B5C9135">
      <w:pPr>
        <w:spacing w:before="48" w:beforeLines="20" w:after="48" w:afterLines="20" w:line="540" w:lineRule="exact"/>
        <w:rPr>
          <w:rFonts w:hint="eastAsia" w:hAnsi="宋体"/>
          <w:b/>
          <w:bCs/>
          <w:szCs w:val="22"/>
          <w:highlight w:val="none"/>
        </w:rPr>
      </w:pPr>
    </w:p>
    <w:p w14:paraId="17CEB041">
      <w:pPr>
        <w:spacing w:before="48" w:beforeLines="20" w:after="48" w:afterLines="20" w:line="540" w:lineRule="exact"/>
        <w:rPr>
          <w:rFonts w:hint="eastAsia" w:hAnsi="宋体"/>
          <w:b/>
          <w:bCs/>
          <w:szCs w:val="22"/>
          <w:highlight w:val="none"/>
        </w:rPr>
      </w:pPr>
    </w:p>
    <w:p w14:paraId="249D4FB2">
      <w:pPr>
        <w:spacing w:before="48" w:beforeLines="20" w:after="48" w:afterLines="20" w:line="540" w:lineRule="exact"/>
        <w:rPr>
          <w:rFonts w:hint="eastAsia" w:hAnsi="宋体"/>
          <w:b/>
          <w:bCs/>
          <w:szCs w:val="22"/>
          <w:highlight w:val="none"/>
        </w:rPr>
      </w:pPr>
    </w:p>
    <w:bookmarkEnd w:id="60"/>
    <w:p w14:paraId="4E8C3CF5">
      <w:pPr>
        <w:jc w:val="center"/>
        <w:rPr>
          <w:rFonts w:hint="eastAsia"/>
          <w:sz w:val="32"/>
          <w:szCs w:val="32"/>
          <w:highlight w:val="none"/>
        </w:rPr>
      </w:pPr>
      <w:bookmarkStart w:id="61" w:name="_Toc535241130"/>
      <w:bookmarkStart w:id="62" w:name="_Toc535241084"/>
      <w:bookmarkStart w:id="63" w:name="_Toc535241227"/>
      <w:bookmarkStart w:id="64" w:name="_Toc224103498"/>
      <w:bookmarkStart w:id="65" w:name="_Toc224103497"/>
      <w:r>
        <w:rPr>
          <w:sz w:val="32"/>
          <w:szCs w:val="32"/>
          <w:highlight w:val="none"/>
        </w:rPr>
        <w:br w:type="page"/>
      </w:r>
      <w:r>
        <w:rPr>
          <w:rFonts w:hint="eastAsia" w:ascii="黑体" w:hAnsi="黑体" w:eastAsia="黑体"/>
          <w:bCs/>
          <w:highlight w:val="none"/>
        </w:rPr>
        <w:t>授权委托书</w:t>
      </w:r>
      <w:bookmarkEnd w:id="61"/>
      <w:bookmarkEnd w:id="62"/>
      <w:bookmarkEnd w:id="63"/>
    </w:p>
    <w:p w14:paraId="312E75B5">
      <w:pPr>
        <w:rPr>
          <w:rFonts w:hint="eastAsia"/>
          <w:highlight w:val="none"/>
        </w:rPr>
      </w:pPr>
    </w:p>
    <w:p w14:paraId="7513CE40">
      <w:pPr>
        <w:snapToGrid w:val="0"/>
        <w:spacing w:line="360" w:lineRule="auto"/>
        <w:ind w:firstLine="420" w:firstLineChars="200"/>
        <w:jc w:val="left"/>
        <w:rPr>
          <w:rFonts w:hint="eastAsia" w:hAnsi="宋体"/>
          <w:szCs w:val="21"/>
          <w:highlight w:val="none"/>
        </w:rPr>
      </w:pPr>
      <w:r>
        <w:rPr>
          <w:rFonts w:hint="eastAsia" w:hAnsi="宋体"/>
          <w:szCs w:val="21"/>
          <w:highlight w:val="none"/>
        </w:rPr>
        <w:t>本人</w:t>
      </w:r>
      <w:r>
        <w:rPr>
          <w:rFonts w:hint="eastAsia" w:hAnsi="宋体"/>
          <w:szCs w:val="21"/>
          <w:highlight w:val="none"/>
          <w:u w:val="single"/>
        </w:rPr>
        <w:t xml:space="preserve">         </w:t>
      </w:r>
      <w:r>
        <w:rPr>
          <w:rFonts w:hint="eastAsia" w:hAnsi="宋体"/>
          <w:szCs w:val="21"/>
          <w:highlight w:val="none"/>
        </w:rPr>
        <w:t>（姓名）系</w:t>
      </w:r>
      <w:r>
        <w:rPr>
          <w:rFonts w:hint="eastAsia" w:hAnsi="宋体"/>
          <w:szCs w:val="21"/>
          <w:highlight w:val="none"/>
          <w:u w:val="single"/>
        </w:rPr>
        <w:t xml:space="preserve">         </w:t>
      </w:r>
      <w:r>
        <w:rPr>
          <w:rFonts w:hint="eastAsia" w:hAnsi="宋体"/>
          <w:szCs w:val="21"/>
          <w:highlight w:val="none"/>
        </w:rPr>
        <w:t>（投标人名称）的法定代表人，现委托</w:t>
      </w:r>
      <w:r>
        <w:rPr>
          <w:rFonts w:hint="eastAsia" w:hAnsi="宋体"/>
          <w:szCs w:val="21"/>
          <w:highlight w:val="none"/>
          <w:u w:val="single"/>
        </w:rPr>
        <w:t xml:space="preserve">      </w:t>
      </w:r>
      <w:r>
        <w:rPr>
          <w:rFonts w:hint="eastAsia" w:hAnsi="宋体"/>
          <w:szCs w:val="21"/>
          <w:highlight w:val="none"/>
        </w:rPr>
        <w:t>（姓名）为我方代理人。代理人根据授权，以我方名义签署、澄清、说明、补正、递交、撤回、修改</w:t>
      </w:r>
      <w:r>
        <w:rPr>
          <w:rFonts w:hint="eastAsia" w:hAnsi="宋体"/>
          <w:szCs w:val="21"/>
          <w:highlight w:val="none"/>
          <w:u w:val="single"/>
        </w:rPr>
        <w:t xml:space="preserve">        </w:t>
      </w:r>
      <w:r>
        <w:rPr>
          <w:rFonts w:hint="eastAsia" w:hAnsi="宋体"/>
          <w:szCs w:val="21"/>
          <w:highlight w:val="none"/>
        </w:rPr>
        <w:t>（招标项目名称）施工投标文件、签订合同和处理有关事宜，其法律后果由我方承担。</w:t>
      </w:r>
    </w:p>
    <w:p w14:paraId="1E2D9629">
      <w:pPr>
        <w:snapToGrid w:val="0"/>
        <w:spacing w:line="360" w:lineRule="auto"/>
        <w:ind w:firstLine="420" w:firstLineChars="200"/>
        <w:rPr>
          <w:rFonts w:hint="eastAsia" w:hAnsi="宋体"/>
          <w:szCs w:val="21"/>
          <w:highlight w:val="none"/>
        </w:rPr>
      </w:pPr>
      <w:r>
        <w:rPr>
          <w:rFonts w:hint="eastAsia" w:hAnsi="宋体"/>
          <w:szCs w:val="21"/>
          <w:highlight w:val="none"/>
        </w:rPr>
        <w:t>委托期限：</w:t>
      </w:r>
      <w:r>
        <w:rPr>
          <w:rFonts w:hint="eastAsia" w:hAnsi="宋体"/>
          <w:szCs w:val="21"/>
          <w:highlight w:val="none"/>
          <w:u w:val="single"/>
        </w:rPr>
        <w:t xml:space="preserve">          </w:t>
      </w:r>
      <w:r>
        <w:rPr>
          <w:rFonts w:hint="eastAsia" w:hAnsi="宋体"/>
          <w:szCs w:val="21"/>
          <w:highlight w:val="none"/>
        </w:rPr>
        <w:t>。</w:t>
      </w:r>
    </w:p>
    <w:p w14:paraId="253B7D68">
      <w:pPr>
        <w:snapToGrid w:val="0"/>
        <w:spacing w:line="360" w:lineRule="auto"/>
        <w:ind w:firstLine="420" w:firstLineChars="200"/>
        <w:rPr>
          <w:rFonts w:hint="eastAsia" w:hAnsi="宋体"/>
          <w:szCs w:val="21"/>
          <w:highlight w:val="none"/>
        </w:rPr>
      </w:pPr>
      <w:r>
        <w:rPr>
          <w:rFonts w:hint="eastAsia" w:hAnsi="宋体"/>
          <w:szCs w:val="21"/>
          <w:highlight w:val="none"/>
        </w:rPr>
        <w:t>代理人无转委托权。</w:t>
      </w:r>
    </w:p>
    <w:p w14:paraId="4930A969">
      <w:pPr>
        <w:snapToGrid w:val="0"/>
        <w:spacing w:line="360" w:lineRule="auto"/>
        <w:ind w:firstLine="420" w:firstLineChars="200"/>
        <w:rPr>
          <w:rFonts w:hint="eastAsia" w:hAnsi="宋体"/>
          <w:szCs w:val="21"/>
          <w:highlight w:val="none"/>
        </w:rPr>
      </w:pPr>
      <w:r>
        <w:rPr>
          <w:rFonts w:hint="eastAsia" w:hAnsi="宋体"/>
          <w:szCs w:val="21"/>
          <w:highlight w:val="none"/>
        </w:rPr>
        <w:t>附：</w:t>
      </w:r>
      <w:r>
        <w:rPr>
          <w:rStyle w:val="34"/>
          <w:rFonts w:hint="default"/>
          <w:color w:val="auto"/>
          <w:highlight w:val="none"/>
        </w:rPr>
        <w:t>法定代表人身份证明</w:t>
      </w:r>
    </w:p>
    <w:p w14:paraId="1F4CC635">
      <w:pPr>
        <w:snapToGrid w:val="0"/>
        <w:spacing w:line="360" w:lineRule="auto"/>
        <w:ind w:firstLine="420" w:firstLineChars="200"/>
        <w:rPr>
          <w:rFonts w:hint="eastAsia" w:hAnsi="宋体"/>
          <w:szCs w:val="21"/>
          <w:highlight w:val="none"/>
        </w:rPr>
      </w:pPr>
      <w:r>
        <w:rPr>
          <w:rFonts w:hint="eastAsia" w:hAnsi="宋体"/>
          <w:szCs w:val="21"/>
          <w:highlight w:val="none"/>
        </w:rPr>
        <w:t xml:space="preserve">    代理人身份证扫描件</w:t>
      </w:r>
    </w:p>
    <w:p w14:paraId="055890EB">
      <w:pPr>
        <w:spacing w:line="500" w:lineRule="exact"/>
        <w:rPr>
          <w:rFonts w:hint="eastAsia" w:hAnsi="宋体"/>
          <w:szCs w:val="21"/>
          <w:highlight w:val="none"/>
        </w:rPr>
      </w:pPr>
    </w:p>
    <w:p w14:paraId="3902651A">
      <w:pPr>
        <w:spacing w:line="400" w:lineRule="exact"/>
        <w:ind w:firstLine="3570" w:firstLineChars="1700"/>
        <w:rPr>
          <w:rFonts w:hint="eastAsia" w:hAnsi="宋体"/>
          <w:szCs w:val="21"/>
          <w:highlight w:val="none"/>
        </w:rPr>
      </w:pPr>
      <w:r>
        <w:rPr>
          <w:rFonts w:hint="eastAsia" w:hAnsi="宋体"/>
          <w:szCs w:val="21"/>
          <w:highlight w:val="none"/>
        </w:rPr>
        <w:t>投  标  人：</w:t>
      </w:r>
      <w:r>
        <w:rPr>
          <w:rFonts w:hint="eastAsia" w:hAnsi="宋体"/>
          <w:szCs w:val="21"/>
          <w:highlight w:val="none"/>
          <w:u w:val="single"/>
        </w:rPr>
        <w:t xml:space="preserve">                        </w:t>
      </w:r>
      <w:r>
        <w:rPr>
          <w:rFonts w:hint="eastAsia" w:hAnsi="宋体"/>
          <w:szCs w:val="21"/>
          <w:highlight w:val="none"/>
        </w:rPr>
        <w:t>（盖单位章）</w:t>
      </w:r>
    </w:p>
    <w:p w14:paraId="464B13BA">
      <w:pPr>
        <w:spacing w:line="400" w:lineRule="exact"/>
        <w:ind w:firstLine="3570" w:firstLineChars="1700"/>
        <w:rPr>
          <w:rFonts w:hint="eastAsia" w:hAnsi="宋体"/>
          <w:szCs w:val="21"/>
          <w:highlight w:val="none"/>
        </w:rPr>
      </w:pPr>
      <w:r>
        <w:rPr>
          <w:rFonts w:hint="eastAsia" w:hAnsi="宋体"/>
          <w:szCs w:val="21"/>
          <w:highlight w:val="none"/>
        </w:rPr>
        <w:t>法定代表人：</w:t>
      </w:r>
      <w:r>
        <w:rPr>
          <w:rFonts w:hint="eastAsia" w:hAnsi="宋体"/>
          <w:szCs w:val="21"/>
          <w:highlight w:val="none"/>
          <w:u w:val="single"/>
        </w:rPr>
        <w:t xml:space="preserve">                      </w:t>
      </w:r>
      <w:r>
        <w:rPr>
          <w:rFonts w:hint="eastAsia" w:hAnsi="宋体"/>
          <w:szCs w:val="21"/>
          <w:highlight w:val="none"/>
        </w:rPr>
        <w:t>（签字或盖章）</w:t>
      </w:r>
    </w:p>
    <w:p w14:paraId="755D3CAC">
      <w:pPr>
        <w:spacing w:line="400" w:lineRule="exact"/>
        <w:ind w:firstLine="3570" w:firstLineChars="1700"/>
        <w:rPr>
          <w:rFonts w:hint="eastAsia" w:hAnsi="宋体"/>
          <w:szCs w:val="21"/>
          <w:highlight w:val="none"/>
          <w:u w:val="single"/>
        </w:rPr>
      </w:pPr>
      <w:r>
        <w:rPr>
          <w:rFonts w:hint="eastAsia" w:hAnsi="宋体"/>
          <w:szCs w:val="21"/>
          <w:highlight w:val="none"/>
        </w:rPr>
        <w:t>代理人身份证号码：</w:t>
      </w:r>
      <w:r>
        <w:rPr>
          <w:rFonts w:hint="eastAsia" w:hAnsi="宋体"/>
          <w:szCs w:val="21"/>
          <w:highlight w:val="none"/>
          <w:u w:val="single"/>
        </w:rPr>
        <w:t xml:space="preserve">                                   </w:t>
      </w:r>
    </w:p>
    <w:p w14:paraId="4E82B0E6">
      <w:pPr>
        <w:spacing w:line="400" w:lineRule="exact"/>
        <w:ind w:firstLine="3570" w:firstLineChars="1700"/>
        <w:rPr>
          <w:rFonts w:hint="eastAsia" w:hAnsi="宋体"/>
          <w:szCs w:val="21"/>
          <w:highlight w:val="none"/>
          <w:u w:val="single"/>
        </w:rPr>
      </w:pPr>
      <w:r>
        <w:rPr>
          <w:rFonts w:hint="eastAsia" w:hAnsi="宋体"/>
          <w:szCs w:val="21"/>
          <w:highlight w:val="none"/>
        </w:rPr>
        <w:t>代理人手机号码：</w:t>
      </w:r>
      <w:r>
        <w:rPr>
          <w:rFonts w:hint="eastAsia" w:hAnsi="宋体"/>
          <w:szCs w:val="21"/>
          <w:highlight w:val="none"/>
          <w:u w:val="single"/>
        </w:rPr>
        <w:t xml:space="preserve">                                    </w:t>
      </w:r>
    </w:p>
    <w:p w14:paraId="5231008D">
      <w:pPr>
        <w:spacing w:line="400" w:lineRule="exact"/>
        <w:ind w:firstLine="3570" w:firstLineChars="1700"/>
        <w:rPr>
          <w:rFonts w:hint="eastAsia" w:hAnsi="宋体"/>
          <w:szCs w:val="21"/>
          <w:highlight w:val="none"/>
          <w:u w:val="single"/>
        </w:rPr>
      </w:pPr>
    </w:p>
    <w:p w14:paraId="786401E0">
      <w:pPr>
        <w:spacing w:line="400" w:lineRule="exact"/>
        <w:ind w:firstLine="4830" w:firstLineChars="2300"/>
        <w:rPr>
          <w:rFonts w:hint="eastAsia" w:hAnsi="宋体"/>
          <w:szCs w:val="21"/>
          <w:highlight w:val="none"/>
        </w:rPr>
      </w:pP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w:t>
      </w:r>
    </w:p>
    <w:p w14:paraId="12A0BD67">
      <w:pPr>
        <w:autoSpaceDE w:val="0"/>
        <w:autoSpaceDN w:val="0"/>
        <w:adjustRightInd w:val="0"/>
        <w:snapToGrid w:val="0"/>
        <w:spacing w:line="360" w:lineRule="auto"/>
        <w:jc w:val="left"/>
        <w:rPr>
          <w:rFonts w:hint="eastAsia" w:hAnsi="宋体"/>
          <w:szCs w:val="22"/>
          <w:highlight w:val="none"/>
        </w:rPr>
      </w:pPr>
    </w:p>
    <w:p w14:paraId="0425CFAC">
      <w:pPr>
        <w:tabs>
          <w:tab w:val="left" w:pos="5760"/>
        </w:tabs>
        <w:autoSpaceDE w:val="0"/>
        <w:autoSpaceDN w:val="0"/>
        <w:adjustRightInd w:val="0"/>
        <w:spacing w:line="300" w:lineRule="exact"/>
        <w:ind w:right="11"/>
        <w:rPr>
          <w:rFonts w:hint="eastAsia" w:hAnsi="宋体"/>
          <w:szCs w:val="22"/>
          <w:highlight w:val="none"/>
        </w:rPr>
      </w:pPr>
      <w:r>
        <w:rPr>
          <w:rFonts w:hint="eastAsia" w:hAnsi="宋体"/>
          <w:szCs w:val="22"/>
          <w:highlight w:val="none"/>
        </w:rPr>
        <w:t>注：</w:t>
      </w:r>
    </w:p>
    <w:p w14:paraId="33F1B98D">
      <w:pPr>
        <w:tabs>
          <w:tab w:val="left" w:pos="5760"/>
        </w:tabs>
        <w:autoSpaceDE w:val="0"/>
        <w:autoSpaceDN w:val="0"/>
        <w:adjustRightInd w:val="0"/>
        <w:spacing w:line="300" w:lineRule="exact"/>
        <w:ind w:right="11"/>
        <w:rPr>
          <w:rFonts w:hAnsi="宋体"/>
          <w:szCs w:val="22"/>
          <w:highlight w:val="none"/>
        </w:rPr>
      </w:pPr>
      <w:r>
        <w:rPr>
          <w:rFonts w:hint="eastAsia" w:hAnsi="宋体"/>
          <w:szCs w:val="22"/>
          <w:highlight w:val="none"/>
        </w:rPr>
        <w:t>法定代表人参加投标活动并签署文件的不需要授权委托书，只需提供法定代表人身份证明；非法定代表人参加投标活动及签署文件的还须提供授权委托书。</w:t>
      </w:r>
      <w:bookmarkEnd w:id="64"/>
      <w:bookmarkEnd w:id="65"/>
      <w:bookmarkStart w:id="66" w:name="_Toc390411622"/>
      <w:bookmarkStart w:id="67" w:name="_Toc460227109"/>
      <w:bookmarkStart w:id="68" w:name="_Toc224103499"/>
      <w:bookmarkStart w:id="69" w:name="_Toc421917002"/>
      <w:bookmarkStart w:id="70" w:name="_Toc460660224"/>
    </w:p>
    <w:bookmarkEnd w:id="66"/>
    <w:bookmarkEnd w:id="67"/>
    <w:bookmarkEnd w:id="68"/>
    <w:bookmarkEnd w:id="69"/>
    <w:bookmarkEnd w:id="70"/>
    <w:p w14:paraId="02D2E895">
      <w:pPr>
        <w:wordWrap w:val="0"/>
        <w:spacing w:line="394" w:lineRule="exact"/>
        <w:jc w:val="both"/>
        <w:rPr>
          <w:rFonts w:hint="default" w:ascii="宋体" w:hAnsi="Times New Roman" w:eastAsia="黑体" w:cs="Times New Roman"/>
          <w:highlight w:val="none"/>
          <w:lang w:val="en-US" w:eastAsia="zh-CN"/>
        </w:rPr>
      </w:pPr>
      <w:bookmarkStart w:id="71" w:name="_Toc460227110"/>
      <w:bookmarkStart w:id="72" w:name="_Toc460660225"/>
    </w:p>
    <w:p w14:paraId="590F91BD">
      <w:pPr>
        <w:outlineLvl w:val="9"/>
        <w:rPr>
          <w:rFonts w:hint="default" w:ascii="宋体" w:hAnsi="Times New Roman" w:eastAsia="黑体" w:cs="Times New Roman"/>
          <w:highlight w:val="none"/>
          <w:lang w:val="en-US" w:eastAsia="zh-CN"/>
        </w:rPr>
      </w:pPr>
    </w:p>
    <w:p w14:paraId="11729D02">
      <w:pPr>
        <w:rPr>
          <w:rFonts w:hint="default" w:ascii="宋体" w:hAnsi="Times New Roman" w:eastAsia="黑体" w:cs="Times New Roman"/>
          <w:highlight w:val="none"/>
          <w:lang w:val="en-US" w:eastAsia="zh-CN"/>
        </w:rPr>
      </w:pPr>
    </w:p>
    <w:p w14:paraId="3E79B55E">
      <w:pPr>
        <w:outlineLvl w:val="9"/>
        <w:rPr>
          <w:rFonts w:hint="default" w:ascii="宋体" w:hAnsi="Times New Roman" w:eastAsia="黑体" w:cs="Times New Roman"/>
          <w:highlight w:val="none"/>
          <w:lang w:val="en-US" w:eastAsia="zh-CN"/>
        </w:rPr>
      </w:pPr>
    </w:p>
    <w:p w14:paraId="6F8E3689">
      <w:pPr>
        <w:rPr>
          <w:rFonts w:hint="default" w:ascii="宋体" w:hAnsi="Times New Roman" w:eastAsia="黑体" w:cs="Times New Roman"/>
          <w:highlight w:val="none"/>
          <w:lang w:val="en-US" w:eastAsia="zh-CN"/>
        </w:rPr>
      </w:pPr>
    </w:p>
    <w:p w14:paraId="38931099">
      <w:pPr>
        <w:rPr>
          <w:rFonts w:hint="default"/>
          <w:lang w:val="en-US" w:eastAsia="zh-CN"/>
        </w:rPr>
      </w:pPr>
    </w:p>
    <w:p w14:paraId="1D8075C9">
      <w:pPr>
        <w:outlineLvl w:val="9"/>
        <w:rPr>
          <w:rFonts w:hint="default" w:ascii="宋体" w:hAnsi="Times New Roman" w:eastAsia="黑体" w:cs="Times New Roman"/>
          <w:highlight w:val="none"/>
          <w:lang w:val="en-US" w:eastAsia="zh-CN"/>
        </w:rPr>
      </w:pPr>
    </w:p>
    <w:p w14:paraId="6D1A63CE">
      <w:pPr>
        <w:rPr>
          <w:rFonts w:hint="default" w:ascii="宋体" w:hAnsi="Times New Roman" w:eastAsia="黑体" w:cs="Times New Roman"/>
          <w:highlight w:val="none"/>
          <w:lang w:val="en-US" w:eastAsia="zh-CN"/>
        </w:rPr>
      </w:pPr>
    </w:p>
    <w:p w14:paraId="644ACEBF">
      <w:pPr>
        <w:outlineLvl w:val="9"/>
        <w:rPr>
          <w:rFonts w:hint="default" w:ascii="宋体" w:hAnsi="Times New Roman" w:eastAsia="黑体" w:cs="Times New Roman"/>
          <w:highlight w:val="none"/>
          <w:lang w:val="en-US" w:eastAsia="zh-CN"/>
        </w:rPr>
      </w:pPr>
    </w:p>
    <w:p w14:paraId="68BD2FCE">
      <w:pPr>
        <w:rPr>
          <w:rFonts w:hint="default"/>
          <w:lang w:val="en-US" w:eastAsia="zh-CN"/>
        </w:rPr>
      </w:pPr>
    </w:p>
    <w:p w14:paraId="347C6567">
      <w:pPr>
        <w:spacing w:before="240" w:beforeLines="100" w:line="510" w:lineRule="exact"/>
        <w:jc w:val="center"/>
        <w:rPr>
          <w:rFonts w:hint="eastAsia" w:ascii="宋体" w:hAnsi="Times New Roman" w:eastAsia="黑体" w:cs="Times New Roman"/>
          <w:highlight w:val="none"/>
          <w:lang w:eastAsia="zh-CN"/>
        </w:rPr>
      </w:pPr>
      <w:bookmarkStart w:id="73" w:name="_Toc535241089"/>
      <w:bookmarkStart w:id="74" w:name="_Toc535241135"/>
      <w:bookmarkStart w:id="75" w:name="_Toc535241232"/>
      <w:bookmarkStart w:id="76" w:name="_Toc535241132"/>
      <w:bookmarkStart w:id="77" w:name="_Toc535241229"/>
      <w:bookmarkStart w:id="78" w:name="_Toc535241086"/>
    </w:p>
    <w:p w14:paraId="2D4B9C94">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p>
    <w:p w14:paraId="413692D7">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9" w:name="_Toc19481"/>
    </w:p>
    <w:p w14:paraId="0CB80AC5">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t>五、投标人信用承诺</w:t>
      </w:r>
      <w:bookmarkEnd w:id="79"/>
    </w:p>
    <w:p w14:paraId="182367A2">
      <w:pPr>
        <w:spacing w:line="360" w:lineRule="auto"/>
        <w:ind w:firstLine="630"/>
        <w:rPr>
          <w:rFonts w:ascii="宋体" w:hAnsi="宋体"/>
          <w:b/>
          <w:color w:val="auto"/>
          <w:sz w:val="24"/>
          <w:highlight w:val="none"/>
        </w:rPr>
      </w:pPr>
      <w:r>
        <w:rPr>
          <w:rFonts w:hint="eastAsia" w:ascii="宋体" w:hAnsi="宋体"/>
          <w:b/>
          <w:color w:val="auto"/>
          <w:sz w:val="24"/>
          <w:highlight w:val="none"/>
        </w:rPr>
        <w:t>一、我公司申明：</w:t>
      </w:r>
    </w:p>
    <w:p w14:paraId="14475AED">
      <w:pPr>
        <w:spacing w:line="360" w:lineRule="auto"/>
        <w:ind w:firstLine="630"/>
        <w:rPr>
          <w:rFonts w:ascii="宋体" w:hAnsi="宋体"/>
          <w:color w:val="auto"/>
          <w:sz w:val="24"/>
          <w:highlight w:val="none"/>
        </w:rPr>
      </w:pPr>
      <w:r>
        <w:rPr>
          <w:rFonts w:hint="eastAsia" w:ascii="宋体" w:hAnsi="宋体"/>
          <w:color w:val="auto"/>
          <w:sz w:val="24"/>
          <w:highlight w:val="none"/>
        </w:rPr>
        <w:t>1.我公司未被人民法院列入失信被执行人；</w:t>
      </w:r>
    </w:p>
    <w:p w14:paraId="44E1DAA1">
      <w:pPr>
        <w:spacing w:line="360" w:lineRule="auto"/>
        <w:ind w:firstLine="630"/>
        <w:rPr>
          <w:rFonts w:ascii="宋体" w:hAnsi="宋体"/>
          <w:color w:val="auto"/>
          <w:sz w:val="24"/>
          <w:highlight w:val="none"/>
        </w:rPr>
      </w:pPr>
      <w:r>
        <w:rPr>
          <w:rFonts w:hint="eastAsia" w:ascii="宋体" w:hAnsi="宋体"/>
          <w:color w:val="auto"/>
          <w:sz w:val="24"/>
          <w:highlight w:val="none"/>
        </w:rPr>
        <w:t>2.我公司和我公司法定代表人未被人民检察院列入行贿犯罪档案；</w:t>
      </w:r>
    </w:p>
    <w:p w14:paraId="74FE65C8">
      <w:pPr>
        <w:spacing w:line="360" w:lineRule="auto"/>
        <w:ind w:firstLine="630"/>
        <w:rPr>
          <w:rFonts w:ascii="宋体" w:hAnsi="宋体"/>
          <w:color w:val="auto"/>
          <w:sz w:val="24"/>
          <w:highlight w:val="none"/>
        </w:rPr>
      </w:pPr>
      <w:r>
        <w:rPr>
          <w:rFonts w:hint="eastAsia" w:ascii="宋体" w:hAnsi="宋体"/>
          <w:color w:val="auto"/>
          <w:sz w:val="24"/>
          <w:highlight w:val="none"/>
        </w:rPr>
        <w:t>3.我公司未被工商行政管理部门列入企业经营异常名录；</w:t>
      </w:r>
    </w:p>
    <w:p w14:paraId="3FA377DF">
      <w:pPr>
        <w:spacing w:line="360" w:lineRule="auto"/>
        <w:ind w:firstLine="630"/>
        <w:rPr>
          <w:rFonts w:hint="eastAsia" w:ascii="宋体" w:hAnsi="宋体"/>
          <w:color w:val="auto"/>
          <w:sz w:val="24"/>
          <w:highlight w:val="none"/>
        </w:rPr>
      </w:pPr>
      <w:r>
        <w:rPr>
          <w:rFonts w:hint="eastAsia" w:ascii="宋体" w:hAnsi="宋体"/>
          <w:color w:val="auto"/>
          <w:sz w:val="24"/>
          <w:highlight w:val="none"/>
        </w:rPr>
        <w:t>4.我公司未被税务部门列入重大税收违法案件当事人名单；</w:t>
      </w:r>
    </w:p>
    <w:p w14:paraId="396CA9E7">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57E7F25C">
      <w:pPr>
        <w:spacing w:line="360" w:lineRule="auto"/>
        <w:ind w:firstLine="482" w:firstLineChars="200"/>
        <w:rPr>
          <w:rFonts w:ascii="宋体" w:hAnsi="宋体"/>
          <w:b/>
          <w:color w:val="auto"/>
          <w:sz w:val="24"/>
          <w:highlight w:val="none"/>
        </w:rPr>
      </w:pPr>
      <w:r>
        <w:rPr>
          <w:rFonts w:ascii="宋体" w:hAnsi="宋体"/>
          <w:b/>
          <w:color w:val="auto"/>
          <w:sz w:val="24"/>
          <w:highlight w:val="none"/>
        </w:rPr>
        <w:t>我公司</w:t>
      </w:r>
      <w:r>
        <w:rPr>
          <w:rFonts w:hint="eastAsia" w:ascii="宋体" w:hAnsi="宋体"/>
          <w:b/>
          <w:color w:val="auto"/>
          <w:sz w:val="24"/>
          <w:highlight w:val="none"/>
        </w:rPr>
        <w:t>对以上承诺的真实性承担责任</w:t>
      </w:r>
      <w:r>
        <w:rPr>
          <w:rFonts w:ascii="宋体" w:hAnsi="宋体"/>
          <w:b/>
          <w:color w:val="auto"/>
          <w:sz w:val="24"/>
          <w:highlight w:val="none"/>
        </w:rPr>
        <w:t>。</w:t>
      </w:r>
    </w:p>
    <w:p w14:paraId="7527D5A3">
      <w:pPr>
        <w:spacing w:line="360" w:lineRule="auto"/>
        <w:ind w:firstLine="630"/>
        <w:rPr>
          <w:rFonts w:ascii="宋体" w:hAnsi="宋体"/>
          <w:color w:val="auto"/>
          <w:sz w:val="24"/>
          <w:highlight w:val="none"/>
        </w:rPr>
      </w:pPr>
    </w:p>
    <w:p w14:paraId="1D9348CA">
      <w:pPr>
        <w:spacing w:line="360" w:lineRule="auto"/>
        <w:ind w:firstLine="630"/>
        <w:rPr>
          <w:rFonts w:ascii="宋体" w:hAnsi="宋体"/>
          <w:color w:val="auto"/>
          <w:sz w:val="24"/>
          <w:highlight w:val="none"/>
        </w:rPr>
      </w:pPr>
      <w:bookmarkStart w:id="98" w:name="_GoBack"/>
      <w:bookmarkEnd w:id="98"/>
    </w:p>
    <w:p w14:paraId="5A46D4F4">
      <w:pPr>
        <w:spacing w:line="360" w:lineRule="auto"/>
        <w:ind w:firstLine="630"/>
        <w:jc w:val="center"/>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 xml:space="preserve">               </w:t>
      </w:r>
    </w:p>
    <w:p w14:paraId="574FDA18">
      <w:pPr>
        <w:spacing w:line="360" w:lineRule="auto"/>
        <w:ind w:firstLine="630"/>
        <w:jc w:val="center"/>
        <w:rPr>
          <w:rFonts w:hint="eastAsia" w:ascii="宋体" w:hAnsi="宋体"/>
          <w:b/>
          <w:color w:val="auto"/>
          <w:sz w:val="24"/>
          <w:highlight w:val="none"/>
          <w:lang w:val="en-US" w:eastAsia="zh-CN"/>
        </w:rPr>
      </w:pPr>
    </w:p>
    <w:p w14:paraId="32C82739">
      <w:pPr>
        <w:spacing w:line="360" w:lineRule="auto"/>
        <w:ind w:firstLine="630"/>
        <w:jc w:val="center"/>
        <w:rPr>
          <w:rFonts w:hint="eastAsia" w:ascii="宋体" w:hAnsi="宋体"/>
          <w:b/>
          <w:color w:val="auto"/>
          <w:sz w:val="24"/>
          <w:highlight w:val="none"/>
          <w:lang w:val="en-US" w:eastAsia="zh-CN"/>
        </w:rPr>
      </w:pPr>
    </w:p>
    <w:p w14:paraId="6F9F088F">
      <w:pPr>
        <w:spacing w:line="360" w:lineRule="auto"/>
        <w:ind w:firstLine="630"/>
        <w:jc w:val="center"/>
        <w:rPr>
          <w:rFonts w:hint="eastAsia" w:ascii="宋体" w:hAnsi="宋体"/>
          <w:b/>
          <w:color w:val="auto"/>
          <w:sz w:val="24"/>
          <w:highlight w:val="none"/>
        </w:rPr>
      </w:pP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投标人</w:t>
      </w:r>
      <w:r>
        <w:rPr>
          <w:rFonts w:hint="eastAsia" w:ascii="宋体" w:hAnsi="宋体"/>
          <w:b/>
          <w:color w:val="auto"/>
          <w:sz w:val="24"/>
          <w:highlight w:val="none"/>
          <w:lang w:eastAsia="zh-CN"/>
        </w:rPr>
        <w:t>公章</w:t>
      </w:r>
      <w:r>
        <w:rPr>
          <w:rFonts w:hint="eastAsia" w:ascii="宋体" w:hAnsi="宋体"/>
          <w:b/>
          <w:color w:val="auto"/>
          <w:sz w:val="24"/>
          <w:highlight w:val="none"/>
        </w:rPr>
        <w:t>：</w:t>
      </w:r>
    </w:p>
    <w:p w14:paraId="58BE52E4">
      <w:pPr>
        <w:spacing w:line="400" w:lineRule="exact"/>
        <w:ind w:firstLine="4830" w:firstLineChars="2300"/>
        <w:jc w:val="left"/>
        <w:rPr>
          <w:rFonts w:hint="eastAsia" w:hAnsi="宋体"/>
          <w:szCs w:val="21"/>
          <w:highlight w:val="none"/>
        </w:rPr>
      </w:pP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w:t>
      </w:r>
    </w:p>
    <w:p w14:paraId="03F051AF">
      <w:pPr>
        <w:numPr>
          <w:ilvl w:val="0"/>
          <w:numId w:val="0"/>
        </w:numPr>
        <w:outlineLvl w:val="9"/>
        <w:rPr>
          <w:rFonts w:hint="eastAsia"/>
          <w:lang w:eastAsia="zh-CN"/>
        </w:rPr>
      </w:pPr>
    </w:p>
    <w:p w14:paraId="10D22E70">
      <w:pPr>
        <w:outlineLvl w:val="9"/>
        <w:rPr>
          <w:rFonts w:hint="eastAsia"/>
          <w:lang w:eastAsia="zh-CN"/>
        </w:rPr>
      </w:pPr>
    </w:p>
    <w:p w14:paraId="25FF9FFC">
      <w:pPr>
        <w:rPr>
          <w:rFonts w:hint="eastAsia"/>
          <w:lang w:eastAsia="zh-CN"/>
        </w:rPr>
      </w:pPr>
    </w:p>
    <w:p w14:paraId="7F368BBF">
      <w:pPr>
        <w:outlineLvl w:val="9"/>
        <w:rPr>
          <w:rFonts w:hint="eastAsia"/>
          <w:lang w:eastAsia="zh-CN"/>
        </w:rPr>
      </w:pPr>
    </w:p>
    <w:p w14:paraId="3130AA81">
      <w:pPr>
        <w:rPr>
          <w:rFonts w:hint="eastAsia"/>
          <w:lang w:eastAsia="zh-CN"/>
        </w:rPr>
      </w:pPr>
    </w:p>
    <w:p w14:paraId="3D0682B0">
      <w:pPr>
        <w:outlineLvl w:val="9"/>
        <w:rPr>
          <w:rFonts w:hint="eastAsia"/>
          <w:lang w:eastAsia="zh-CN"/>
        </w:rPr>
      </w:pPr>
    </w:p>
    <w:p w14:paraId="7EE96469">
      <w:pPr>
        <w:rPr>
          <w:rFonts w:hint="eastAsia"/>
          <w:lang w:eastAsia="zh-CN"/>
        </w:rPr>
      </w:pPr>
    </w:p>
    <w:p w14:paraId="65D2AE9B">
      <w:pPr>
        <w:outlineLvl w:val="9"/>
        <w:rPr>
          <w:rFonts w:hint="eastAsia"/>
          <w:lang w:eastAsia="zh-CN"/>
        </w:rPr>
      </w:pPr>
    </w:p>
    <w:p w14:paraId="52AE35EC">
      <w:pPr>
        <w:rPr>
          <w:rFonts w:hint="eastAsia"/>
          <w:lang w:eastAsia="zh-CN"/>
        </w:rPr>
      </w:pPr>
    </w:p>
    <w:p w14:paraId="781CAFAB">
      <w:pPr>
        <w:outlineLvl w:val="9"/>
        <w:rPr>
          <w:rFonts w:hint="eastAsia"/>
          <w:lang w:eastAsia="zh-CN"/>
        </w:rPr>
      </w:pPr>
    </w:p>
    <w:p w14:paraId="5E086F06">
      <w:pPr>
        <w:rPr>
          <w:rFonts w:hint="eastAsia"/>
          <w:lang w:eastAsia="zh-CN"/>
        </w:rPr>
      </w:pPr>
    </w:p>
    <w:p w14:paraId="6F2C6EFB">
      <w:pPr>
        <w:spacing w:before="240" w:beforeLines="100" w:line="510" w:lineRule="exact"/>
        <w:jc w:val="center"/>
        <w:rPr>
          <w:rFonts w:hint="eastAsia" w:ascii="宋体" w:hAnsi="Times New Roman" w:eastAsia="黑体" w:cs="Times New Roman"/>
          <w:highlight w:val="none"/>
          <w:lang w:eastAsia="zh-CN"/>
        </w:rPr>
      </w:pPr>
    </w:p>
    <w:p w14:paraId="5194F936">
      <w:pPr>
        <w:spacing w:before="240" w:beforeLines="100" w:line="510" w:lineRule="exact"/>
        <w:jc w:val="center"/>
        <w:rPr>
          <w:rFonts w:hint="eastAsia" w:ascii="宋体" w:hAnsi="Times New Roman" w:eastAsia="黑体" w:cs="Times New Roman"/>
          <w:highlight w:val="none"/>
          <w:lang w:eastAsia="zh-CN"/>
        </w:rPr>
      </w:pPr>
    </w:p>
    <w:p w14:paraId="533EC5D8">
      <w:pPr>
        <w:spacing w:before="240" w:beforeLines="100" w:line="510" w:lineRule="exact"/>
        <w:jc w:val="center"/>
        <w:rPr>
          <w:rFonts w:hint="eastAsia" w:ascii="宋体" w:hAnsi="Times New Roman" w:eastAsia="黑体" w:cs="Times New Roman"/>
          <w:highlight w:val="none"/>
          <w:lang w:eastAsia="zh-CN"/>
        </w:rPr>
      </w:pPr>
    </w:p>
    <w:p w14:paraId="733BBAF2">
      <w:pPr>
        <w:spacing w:before="240" w:beforeLines="100" w:line="510" w:lineRule="exact"/>
        <w:jc w:val="center"/>
        <w:rPr>
          <w:rFonts w:hint="eastAsia" w:ascii="宋体" w:hAnsi="Times New Roman" w:eastAsia="黑体" w:cs="Times New Roman"/>
          <w:highlight w:val="none"/>
          <w:lang w:eastAsia="zh-CN"/>
        </w:rPr>
      </w:pPr>
    </w:p>
    <w:p w14:paraId="6C418765">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0" w:name="_Toc26115"/>
      <w:r>
        <w:rPr>
          <w:rFonts w:hint="eastAsia" w:ascii="宋体" w:hAnsi="Times New Roman" w:eastAsia="宋体" w:cs="Times New Roman"/>
          <w:bCs w:val="0"/>
          <w:sz w:val="24"/>
          <w:highlight w:val="none"/>
          <w:lang w:val="en-US" w:eastAsia="zh-CN" w:bidi="ar-SA"/>
        </w:rPr>
        <w:t>六、投标人业绩</w:t>
      </w:r>
      <w:bookmarkEnd w:id="80"/>
    </w:p>
    <w:p w14:paraId="4F6D4059">
      <w:pPr>
        <w:jc w:val="center"/>
        <w:outlineLvl w:val="9"/>
        <w:rPr>
          <w:rFonts w:hint="eastAsia"/>
          <w:b/>
          <w:color w:val="auto"/>
          <w:sz w:val="24"/>
          <w:szCs w:val="24"/>
          <w:highlight w:val="none"/>
        </w:rPr>
      </w:pPr>
      <w:r>
        <w:rPr>
          <w:rFonts w:hint="eastAsia"/>
          <w:b/>
          <w:color w:val="auto"/>
          <w:sz w:val="24"/>
          <w:szCs w:val="24"/>
          <w:highlight w:val="none"/>
        </w:rPr>
        <w:t>（一）业绩表</w:t>
      </w:r>
    </w:p>
    <w:p w14:paraId="153159DC">
      <w:pPr>
        <w:jc w:val="center"/>
        <w:rPr>
          <w:color w:val="auto"/>
          <w:sz w:val="24"/>
          <w:szCs w:val="24"/>
          <w:highlight w:val="none"/>
        </w:rPr>
      </w:pPr>
      <w:r>
        <w:rPr>
          <w:rFonts w:hint="eastAsia"/>
          <w:color w:val="auto"/>
          <w:sz w:val="24"/>
          <w:szCs w:val="24"/>
          <w:highlight w:val="none"/>
        </w:rPr>
        <w:t>（格式仅供参考）</w:t>
      </w:r>
    </w:p>
    <w:tbl>
      <w:tblPr>
        <w:tblStyle w:val="23"/>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75"/>
        <w:gridCol w:w="1200"/>
        <w:gridCol w:w="1346"/>
        <w:gridCol w:w="1279"/>
        <w:gridCol w:w="1106"/>
        <w:gridCol w:w="1946"/>
        <w:gridCol w:w="746"/>
      </w:tblGrid>
      <w:tr w14:paraId="0271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08" w:type="pct"/>
            <w:noWrap w:val="0"/>
            <w:vAlign w:val="center"/>
          </w:tcPr>
          <w:p w14:paraId="6A87474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626" w:type="pct"/>
            <w:noWrap w:val="0"/>
            <w:vAlign w:val="center"/>
          </w:tcPr>
          <w:p w14:paraId="3E667D0B">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639" w:type="pct"/>
            <w:noWrap w:val="0"/>
            <w:vAlign w:val="center"/>
          </w:tcPr>
          <w:p w14:paraId="4E2B95F4">
            <w:pPr>
              <w:widowControl/>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u w:val="none"/>
              </w:rPr>
              <w:t>合同</w:t>
            </w:r>
            <w:r>
              <w:rPr>
                <w:rFonts w:hint="eastAsia" w:ascii="宋体" w:hAnsi="宋体"/>
                <w:color w:val="auto"/>
                <w:sz w:val="22"/>
                <w:szCs w:val="22"/>
                <w:highlight w:val="none"/>
                <w:u w:val="none"/>
                <w:lang w:val="en-US" w:eastAsia="zh-CN"/>
              </w:rPr>
              <w:t>签订时间</w:t>
            </w:r>
          </w:p>
        </w:tc>
        <w:tc>
          <w:tcPr>
            <w:tcW w:w="717" w:type="pct"/>
            <w:noWrap w:val="0"/>
            <w:vAlign w:val="center"/>
          </w:tcPr>
          <w:p w14:paraId="6213B114">
            <w:pPr>
              <w:spacing w:line="360" w:lineRule="auto"/>
              <w:jc w:val="center"/>
              <w:rPr>
                <w:rFonts w:hint="default" w:ascii="宋体" w:hAnsi="宋体" w:eastAsia="宋体"/>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合同金额</w:t>
            </w:r>
          </w:p>
        </w:tc>
        <w:tc>
          <w:tcPr>
            <w:tcW w:w="682" w:type="pct"/>
            <w:noWrap w:val="0"/>
            <w:vAlign w:val="center"/>
          </w:tcPr>
          <w:p w14:paraId="07C31C81">
            <w:pPr>
              <w:spacing w:line="360" w:lineRule="auto"/>
              <w:jc w:val="center"/>
              <w:rPr>
                <w:rFonts w:hint="default" w:ascii="宋体" w:hAnsi="宋体" w:eastAsia="宋体"/>
                <w:b w:val="0"/>
                <w:bCs w:val="0"/>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合同内容</w:t>
            </w:r>
          </w:p>
        </w:tc>
        <w:tc>
          <w:tcPr>
            <w:tcW w:w="589" w:type="pct"/>
            <w:noWrap w:val="0"/>
            <w:vAlign w:val="center"/>
          </w:tcPr>
          <w:p w14:paraId="0A5B0F48">
            <w:pPr>
              <w:spacing w:line="360" w:lineRule="auto"/>
              <w:jc w:val="center"/>
              <w:rPr>
                <w:rFonts w:hint="eastAsia" w:ascii="宋体" w:hAnsi="宋体"/>
                <w:b w:val="0"/>
                <w:bCs w:val="0"/>
                <w:color w:val="auto"/>
                <w:sz w:val="22"/>
                <w:szCs w:val="22"/>
                <w:highlight w:val="none"/>
                <w:u w:val="none"/>
                <w:lang w:val="en-US" w:eastAsia="zh-CN"/>
              </w:rPr>
            </w:pPr>
            <w:r>
              <w:rPr>
                <w:rFonts w:hint="eastAsia" w:ascii="宋体" w:hAnsi="宋体" w:eastAsia="宋体"/>
                <w:color w:val="auto"/>
                <w:sz w:val="22"/>
                <w:szCs w:val="22"/>
                <w:highlight w:val="none"/>
                <w:lang w:eastAsia="zh-CN"/>
              </w:rPr>
              <w:t>项目所在地</w:t>
            </w:r>
          </w:p>
        </w:tc>
        <w:tc>
          <w:tcPr>
            <w:tcW w:w="1037" w:type="pct"/>
            <w:noWrap w:val="0"/>
            <w:vAlign w:val="center"/>
          </w:tcPr>
          <w:p w14:paraId="3C4C34FD">
            <w:pPr>
              <w:spacing w:line="360" w:lineRule="auto"/>
              <w:jc w:val="center"/>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rPr>
              <w:t>业绩合同</w:t>
            </w:r>
            <w:r>
              <w:rPr>
                <w:rFonts w:hint="eastAsia" w:ascii="宋体" w:hAnsi="宋体"/>
                <w:b w:val="0"/>
                <w:bCs w:val="0"/>
                <w:color w:val="auto"/>
                <w:sz w:val="22"/>
                <w:szCs w:val="22"/>
                <w:highlight w:val="none"/>
                <w:u w:val="none"/>
                <w:lang w:eastAsia="zh-CN"/>
              </w:rPr>
              <w:t>采购人</w:t>
            </w:r>
            <w:r>
              <w:rPr>
                <w:rFonts w:hint="eastAsia" w:ascii="宋体" w:hAnsi="宋体"/>
                <w:b w:val="0"/>
                <w:bCs w:val="0"/>
                <w:color w:val="auto"/>
                <w:sz w:val="22"/>
                <w:szCs w:val="22"/>
                <w:highlight w:val="none"/>
                <w:u w:val="none"/>
              </w:rPr>
              <w:t>及联系电话</w:t>
            </w:r>
          </w:p>
        </w:tc>
        <w:tc>
          <w:tcPr>
            <w:tcW w:w="397" w:type="pct"/>
            <w:noWrap w:val="0"/>
            <w:vAlign w:val="center"/>
          </w:tcPr>
          <w:p w14:paraId="27F912C8">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2740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8" w:type="pct"/>
            <w:noWrap w:val="0"/>
            <w:vAlign w:val="center"/>
          </w:tcPr>
          <w:p w14:paraId="6E330AB6">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1</w:t>
            </w:r>
          </w:p>
        </w:tc>
        <w:tc>
          <w:tcPr>
            <w:tcW w:w="626" w:type="pct"/>
            <w:noWrap w:val="0"/>
            <w:vAlign w:val="center"/>
          </w:tcPr>
          <w:p w14:paraId="06AD39D4">
            <w:pPr>
              <w:spacing w:line="360" w:lineRule="auto"/>
              <w:rPr>
                <w:rFonts w:ascii="宋体" w:hAnsi="宋体"/>
                <w:color w:val="auto"/>
                <w:sz w:val="22"/>
                <w:szCs w:val="22"/>
                <w:highlight w:val="none"/>
              </w:rPr>
            </w:pPr>
          </w:p>
        </w:tc>
        <w:tc>
          <w:tcPr>
            <w:tcW w:w="639" w:type="pct"/>
            <w:noWrap w:val="0"/>
            <w:vAlign w:val="center"/>
          </w:tcPr>
          <w:p w14:paraId="1248E257">
            <w:pPr>
              <w:spacing w:line="360" w:lineRule="auto"/>
              <w:rPr>
                <w:rFonts w:hint="eastAsia" w:ascii="宋体" w:hAnsi="宋体" w:eastAsia="宋体"/>
                <w:color w:val="auto"/>
                <w:sz w:val="22"/>
                <w:szCs w:val="22"/>
                <w:highlight w:val="none"/>
                <w:lang w:eastAsia="zh-CN"/>
              </w:rPr>
            </w:pPr>
          </w:p>
        </w:tc>
        <w:tc>
          <w:tcPr>
            <w:tcW w:w="717" w:type="pct"/>
            <w:noWrap w:val="0"/>
            <w:vAlign w:val="center"/>
          </w:tcPr>
          <w:p w14:paraId="28673F5B">
            <w:pPr>
              <w:spacing w:line="360" w:lineRule="auto"/>
              <w:rPr>
                <w:rFonts w:ascii="宋体" w:hAnsi="宋体"/>
                <w:color w:val="auto"/>
                <w:sz w:val="22"/>
                <w:szCs w:val="22"/>
                <w:highlight w:val="none"/>
              </w:rPr>
            </w:pPr>
          </w:p>
        </w:tc>
        <w:tc>
          <w:tcPr>
            <w:tcW w:w="682" w:type="pct"/>
            <w:noWrap w:val="0"/>
            <w:vAlign w:val="center"/>
          </w:tcPr>
          <w:p w14:paraId="73B991E5">
            <w:pPr>
              <w:spacing w:line="360" w:lineRule="auto"/>
              <w:rPr>
                <w:rFonts w:ascii="宋体" w:hAnsi="宋体"/>
                <w:color w:val="auto"/>
                <w:sz w:val="22"/>
                <w:szCs w:val="22"/>
                <w:highlight w:val="none"/>
              </w:rPr>
            </w:pPr>
          </w:p>
        </w:tc>
        <w:tc>
          <w:tcPr>
            <w:tcW w:w="589" w:type="pct"/>
            <w:noWrap w:val="0"/>
            <w:vAlign w:val="center"/>
          </w:tcPr>
          <w:p w14:paraId="1B75AA20">
            <w:pPr>
              <w:spacing w:line="360" w:lineRule="auto"/>
              <w:rPr>
                <w:rFonts w:ascii="宋体" w:hAnsi="宋体"/>
                <w:color w:val="auto"/>
                <w:sz w:val="22"/>
                <w:szCs w:val="22"/>
                <w:highlight w:val="none"/>
              </w:rPr>
            </w:pPr>
          </w:p>
        </w:tc>
        <w:tc>
          <w:tcPr>
            <w:tcW w:w="1037" w:type="pct"/>
            <w:noWrap w:val="0"/>
            <w:vAlign w:val="center"/>
          </w:tcPr>
          <w:p w14:paraId="122615D7">
            <w:pPr>
              <w:spacing w:line="360" w:lineRule="auto"/>
              <w:rPr>
                <w:rFonts w:ascii="宋体" w:hAnsi="宋体"/>
                <w:color w:val="auto"/>
                <w:sz w:val="22"/>
                <w:szCs w:val="22"/>
                <w:highlight w:val="none"/>
              </w:rPr>
            </w:pPr>
          </w:p>
        </w:tc>
        <w:tc>
          <w:tcPr>
            <w:tcW w:w="397" w:type="pct"/>
            <w:noWrap w:val="0"/>
            <w:vAlign w:val="center"/>
          </w:tcPr>
          <w:p w14:paraId="7EDF03D8">
            <w:pPr>
              <w:spacing w:line="360" w:lineRule="auto"/>
              <w:rPr>
                <w:rFonts w:ascii="宋体" w:hAnsi="宋体"/>
                <w:color w:val="auto"/>
                <w:sz w:val="22"/>
                <w:szCs w:val="22"/>
                <w:highlight w:val="none"/>
              </w:rPr>
            </w:pPr>
          </w:p>
        </w:tc>
      </w:tr>
      <w:tr w14:paraId="7547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noWrap w:val="0"/>
            <w:vAlign w:val="center"/>
          </w:tcPr>
          <w:p w14:paraId="596D1335">
            <w:pPr>
              <w:spacing w:line="360" w:lineRule="auto"/>
              <w:jc w:val="center"/>
              <w:rPr>
                <w:rFonts w:ascii="宋体" w:hAnsi="宋体"/>
                <w:color w:val="auto"/>
                <w:sz w:val="22"/>
                <w:szCs w:val="22"/>
                <w:highlight w:val="none"/>
              </w:rPr>
            </w:pPr>
            <w:r>
              <w:rPr>
                <w:rFonts w:ascii="宋体" w:hAnsi="宋体"/>
                <w:color w:val="auto"/>
                <w:sz w:val="22"/>
                <w:szCs w:val="22"/>
                <w:highlight w:val="none"/>
              </w:rPr>
              <w:t>……</w:t>
            </w:r>
          </w:p>
        </w:tc>
        <w:tc>
          <w:tcPr>
            <w:tcW w:w="626" w:type="pct"/>
            <w:noWrap w:val="0"/>
            <w:vAlign w:val="center"/>
          </w:tcPr>
          <w:p w14:paraId="697B9A95">
            <w:pPr>
              <w:spacing w:line="360" w:lineRule="auto"/>
              <w:rPr>
                <w:rFonts w:ascii="宋体" w:hAnsi="宋体"/>
                <w:color w:val="auto"/>
                <w:sz w:val="22"/>
                <w:szCs w:val="22"/>
                <w:highlight w:val="none"/>
              </w:rPr>
            </w:pPr>
          </w:p>
        </w:tc>
        <w:tc>
          <w:tcPr>
            <w:tcW w:w="639" w:type="pct"/>
            <w:noWrap w:val="0"/>
            <w:vAlign w:val="center"/>
          </w:tcPr>
          <w:p w14:paraId="19C3BD15">
            <w:pPr>
              <w:spacing w:line="360" w:lineRule="auto"/>
              <w:rPr>
                <w:rFonts w:ascii="宋体" w:hAnsi="宋体"/>
                <w:color w:val="auto"/>
                <w:sz w:val="22"/>
                <w:szCs w:val="22"/>
                <w:highlight w:val="none"/>
              </w:rPr>
            </w:pPr>
          </w:p>
        </w:tc>
        <w:tc>
          <w:tcPr>
            <w:tcW w:w="717" w:type="pct"/>
            <w:noWrap w:val="0"/>
            <w:vAlign w:val="center"/>
          </w:tcPr>
          <w:p w14:paraId="742ABAC3">
            <w:pPr>
              <w:spacing w:line="360" w:lineRule="auto"/>
              <w:rPr>
                <w:rFonts w:ascii="宋体" w:hAnsi="宋体"/>
                <w:color w:val="auto"/>
                <w:sz w:val="22"/>
                <w:szCs w:val="22"/>
                <w:highlight w:val="none"/>
              </w:rPr>
            </w:pPr>
          </w:p>
        </w:tc>
        <w:tc>
          <w:tcPr>
            <w:tcW w:w="682" w:type="pct"/>
            <w:noWrap w:val="0"/>
            <w:vAlign w:val="center"/>
          </w:tcPr>
          <w:p w14:paraId="6E480928">
            <w:pPr>
              <w:spacing w:line="360" w:lineRule="auto"/>
              <w:rPr>
                <w:rFonts w:ascii="宋体" w:hAnsi="宋体"/>
                <w:color w:val="auto"/>
                <w:sz w:val="22"/>
                <w:szCs w:val="22"/>
                <w:highlight w:val="none"/>
              </w:rPr>
            </w:pPr>
          </w:p>
        </w:tc>
        <w:tc>
          <w:tcPr>
            <w:tcW w:w="589" w:type="pct"/>
            <w:noWrap w:val="0"/>
            <w:vAlign w:val="center"/>
          </w:tcPr>
          <w:p w14:paraId="07BCCFEF">
            <w:pPr>
              <w:spacing w:line="360" w:lineRule="auto"/>
              <w:rPr>
                <w:rFonts w:ascii="宋体" w:hAnsi="宋体"/>
                <w:color w:val="auto"/>
                <w:sz w:val="22"/>
                <w:szCs w:val="22"/>
                <w:highlight w:val="none"/>
              </w:rPr>
            </w:pPr>
          </w:p>
        </w:tc>
        <w:tc>
          <w:tcPr>
            <w:tcW w:w="1037" w:type="pct"/>
            <w:noWrap w:val="0"/>
            <w:vAlign w:val="center"/>
          </w:tcPr>
          <w:p w14:paraId="459ED6D6">
            <w:pPr>
              <w:spacing w:line="360" w:lineRule="auto"/>
              <w:rPr>
                <w:rFonts w:ascii="宋体" w:hAnsi="宋体"/>
                <w:color w:val="auto"/>
                <w:sz w:val="22"/>
                <w:szCs w:val="22"/>
                <w:highlight w:val="none"/>
              </w:rPr>
            </w:pPr>
          </w:p>
        </w:tc>
        <w:tc>
          <w:tcPr>
            <w:tcW w:w="397" w:type="pct"/>
            <w:noWrap w:val="0"/>
            <w:vAlign w:val="center"/>
          </w:tcPr>
          <w:p w14:paraId="25EFB30C">
            <w:pPr>
              <w:spacing w:line="360" w:lineRule="auto"/>
              <w:rPr>
                <w:rFonts w:ascii="宋体" w:hAnsi="宋体"/>
                <w:color w:val="auto"/>
                <w:sz w:val="22"/>
                <w:szCs w:val="22"/>
                <w:highlight w:val="none"/>
              </w:rPr>
            </w:pPr>
          </w:p>
        </w:tc>
      </w:tr>
    </w:tbl>
    <w:p w14:paraId="7CA5BFC9">
      <w:pPr>
        <w:spacing w:before="48" w:beforeLines="20" w:after="48" w:afterLines="20" w:line="360" w:lineRule="auto"/>
        <w:jc w:val="center"/>
        <w:outlineLvl w:val="9"/>
        <w:rPr>
          <w:rFonts w:ascii="宋体" w:hAnsi="宋体"/>
          <w:b/>
          <w:color w:val="auto"/>
          <w:sz w:val="24"/>
          <w:szCs w:val="24"/>
          <w:highlight w:val="none"/>
        </w:rPr>
      </w:pPr>
      <w:r>
        <w:rPr>
          <w:rFonts w:hint="eastAsia" w:ascii="宋体" w:hAnsi="宋体"/>
          <w:b/>
          <w:color w:val="auto"/>
          <w:sz w:val="24"/>
          <w:szCs w:val="24"/>
          <w:highlight w:val="none"/>
        </w:rPr>
        <w:t>（二）业绩证明材料</w:t>
      </w:r>
    </w:p>
    <w:p w14:paraId="7FD02D00">
      <w:pPr>
        <w:keepNext/>
        <w:keepLines/>
        <w:widowControl w:val="0"/>
        <w:numPr>
          <w:ilvl w:val="0"/>
          <w:numId w:val="0"/>
        </w:numPr>
        <w:spacing w:before="120" w:after="120" w:line="360" w:lineRule="auto"/>
        <w:jc w:val="center"/>
        <w:outlineLvl w:val="9"/>
        <w:rPr>
          <w:rFonts w:hint="eastAsia"/>
          <w:lang w:val="en-US" w:eastAsia="zh-CN"/>
        </w:rPr>
      </w:pPr>
      <w:r>
        <w:rPr>
          <w:rFonts w:hint="eastAsia" w:ascii="宋体" w:hAnsi="宋体"/>
          <w:color w:val="auto"/>
          <w:sz w:val="24"/>
          <w:szCs w:val="24"/>
          <w:highlight w:val="none"/>
        </w:rPr>
        <w:t>（建议与上述“（一）业绩表”填写的业绩一一对应提供）</w:t>
      </w:r>
    </w:p>
    <w:p w14:paraId="727DF532">
      <w:pPr>
        <w:spacing w:before="240" w:beforeLines="100" w:line="510" w:lineRule="exact"/>
        <w:jc w:val="center"/>
        <w:rPr>
          <w:rFonts w:hint="eastAsia" w:ascii="宋体" w:hAnsi="Times New Roman" w:eastAsia="黑体" w:cs="Times New Roman"/>
          <w:highlight w:val="none"/>
          <w:lang w:eastAsia="zh-CN"/>
        </w:rPr>
      </w:pPr>
    </w:p>
    <w:p w14:paraId="1AB6053C">
      <w:pPr>
        <w:spacing w:before="240" w:beforeLines="100" w:line="510" w:lineRule="exact"/>
        <w:jc w:val="center"/>
        <w:rPr>
          <w:rFonts w:hint="eastAsia" w:ascii="宋体" w:hAnsi="Times New Roman" w:eastAsia="黑体" w:cs="Times New Roman"/>
          <w:highlight w:val="none"/>
          <w:lang w:eastAsia="zh-CN"/>
        </w:rPr>
      </w:pPr>
    </w:p>
    <w:p w14:paraId="5E4DA8C6">
      <w:pPr>
        <w:spacing w:before="240" w:beforeLines="100" w:line="510" w:lineRule="exact"/>
        <w:jc w:val="center"/>
        <w:rPr>
          <w:rFonts w:hint="eastAsia" w:ascii="宋体" w:hAnsi="Times New Roman" w:eastAsia="黑体" w:cs="Times New Roman"/>
          <w:highlight w:val="none"/>
          <w:lang w:eastAsia="zh-CN"/>
        </w:rPr>
      </w:pPr>
    </w:p>
    <w:p w14:paraId="4BA2A75D">
      <w:pPr>
        <w:spacing w:before="240" w:beforeLines="100" w:line="510" w:lineRule="exact"/>
        <w:jc w:val="center"/>
        <w:rPr>
          <w:rFonts w:hint="eastAsia" w:ascii="宋体" w:hAnsi="Times New Roman" w:eastAsia="黑体" w:cs="Times New Roman"/>
          <w:highlight w:val="none"/>
          <w:lang w:eastAsia="zh-CN"/>
        </w:rPr>
      </w:pPr>
    </w:p>
    <w:p w14:paraId="5CC88DDA">
      <w:pPr>
        <w:spacing w:before="240" w:beforeLines="100" w:line="510" w:lineRule="exact"/>
        <w:jc w:val="center"/>
        <w:rPr>
          <w:rFonts w:hint="eastAsia" w:ascii="宋体" w:hAnsi="Times New Roman" w:eastAsia="黑体" w:cs="Times New Roman"/>
          <w:highlight w:val="none"/>
          <w:lang w:eastAsia="zh-CN"/>
        </w:rPr>
      </w:pPr>
    </w:p>
    <w:p w14:paraId="4525CD3B">
      <w:pPr>
        <w:spacing w:before="240" w:beforeLines="100" w:line="510" w:lineRule="exact"/>
        <w:jc w:val="center"/>
        <w:rPr>
          <w:rFonts w:hint="eastAsia" w:ascii="宋体" w:hAnsi="Times New Roman" w:eastAsia="黑体" w:cs="Times New Roman"/>
          <w:highlight w:val="none"/>
          <w:lang w:eastAsia="zh-CN"/>
        </w:rPr>
      </w:pPr>
    </w:p>
    <w:p w14:paraId="374CA112">
      <w:pPr>
        <w:spacing w:before="240" w:beforeLines="100" w:line="510" w:lineRule="exact"/>
        <w:jc w:val="center"/>
        <w:rPr>
          <w:rFonts w:hint="eastAsia" w:ascii="宋体" w:hAnsi="Times New Roman" w:eastAsia="黑体" w:cs="Times New Roman"/>
          <w:highlight w:val="none"/>
          <w:lang w:eastAsia="zh-CN"/>
        </w:rPr>
      </w:pPr>
    </w:p>
    <w:p w14:paraId="3BCE0F5F">
      <w:pPr>
        <w:spacing w:before="240" w:beforeLines="100" w:line="510" w:lineRule="exact"/>
        <w:jc w:val="center"/>
        <w:rPr>
          <w:rFonts w:hint="eastAsia" w:ascii="宋体" w:hAnsi="Times New Roman" w:eastAsia="黑体" w:cs="Times New Roman"/>
          <w:highlight w:val="none"/>
          <w:lang w:eastAsia="zh-CN"/>
        </w:rPr>
      </w:pPr>
    </w:p>
    <w:p w14:paraId="7347E5BC">
      <w:pPr>
        <w:spacing w:before="240" w:beforeLines="100" w:line="510" w:lineRule="exact"/>
        <w:jc w:val="both"/>
        <w:rPr>
          <w:rFonts w:hint="eastAsia" w:ascii="宋体" w:hAnsi="Times New Roman" w:eastAsia="黑体" w:cs="Times New Roman"/>
          <w:highlight w:val="none"/>
          <w:lang w:eastAsia="zh-CN"/>
        </w:rPr>
      </w:pPr>
    </w:p>
    <w:p w14:paraId="0FDD3EEC">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1" w:name="_Toc5825"/>
    </w:p>
    <w:p w14:paraId="202D87A2">
      <w:pPr>
        <w:spacing w:before="240" w:beforeLines="100" w:line="510" w:lineRule="exact"/>
        <w:jc w:val="center"/>
        <w:outlineLvl w:val="1"/>
        <w:rPr>
          <w:rFonts w:hint="eastAsia" w:ascii="宋体" w:hAnsi="Times New Roman" w:eastAsia="宋体" w:cs="Times New Roman"/>
          <w:b/>
          <w:bCs/>
          <w:sz w:val="24"/>
          <w:highlight w:val="none"/>
          <w:lang w:val="en-US" w:eastAsia="zh-CN" w:bidi="ar-SA"/>
        </w:rPr>
      </w:pPr>
      <w:r>
        <w:rPr>
          <w:rFonts w:hint="eastAsia" w:ascii="宋体" w:hAnsi="Times New Roman" w:eastAsia="宋体" w:cs="Times New Roman"/>
          <w:b/>
          <w:bCs/>
          <w:sz w:val="24"/>
          <w:highlight w:val="none"/>
          <w:lang w:val="en-US" w:eastAsia="zh-CN" w:bidi="ar-SA"/>
        </w:rPr>
        <w:t>七、奖项、荣誉（如有）</w:t>
      </w:r>
      <w:bookmarkEnd w:id="81"/>
    </w:p>
    <w:p w14:paraId="0C5AB21A">
      <w:pPr>
        <w:spacing w:before="240" w:beforeLines="100" w:line="510" w:lineRule="exact"/>
        <w:jc w:val="center"/>
        <w:rPr>
          <w:rFonts w:hint="eastAsia" w:ascii="宋体" w:hAnsi="Times New Roman" w:eastAsia="黑体" w:cs="Times New Roman"/>
          <w:highlight w:val="none"/>
          <w:lang w:eastAsia="zh-CN"/>
        </w:rPr>
      </w:pPr>
    </w:p>
    <w:p w14:paraId="239914C7">
      <w:pPr>
        <w:spacing w:before="240" w:beforeLines="100" w:line="510" w:lineRule="exact"/>
        <w:jc w:val="center"/>
        <w:rPr>
          <w:rFonts w:hint="eastAsia" w:ascii="宋体" w:hAnsi="Times New Roman" w:eastAsia="黑体" w:cs="Times New Roman"/>
          <w:highlight w:val="none"/>
          <w:lang w:eastAsia="zh-CN"/>
        </w:rPr>
      </w:pPr>
    </w:p>
    <w:p w14:paraId="24B5666A">
      <w:pPr>
        <w:outlineLvl w:val="9"/>
        <w:rPr>
          <w:rFonts w:hint="eastAsia" w:ascii="宋体" w:hAnsi="Times New Roman" w:eastAsia="黑体" w:cs="Times New Roman"/>
          <w:highlight w:val="none"/>
          <w:lang w:eastAsia="zh-CN"/>
        </w:rPr>
      </w:pPr>
    </w:p>
    <w:p w14:paraId="0D17C092">
      <w:pPr>
        <w:rPr>
          <w:rFonts w:hint="eastAsia" w:ascii="宋体" w:hAnsi="Times New Roman" w:eastAsia="黑体" w:cs="Times New Roman"/>
          <w:highlight w:val="none"/>
          <w:lang w:eastAsia="zh-CN"/>
        </w:rPr>
      </w:pPr>
    </w:p>
    <w:p w14:paraId="059BA3BA">
      <w:pPr>
        <w:outlineLvl w:val="9"/>
        <w:rPr>
          <w:rFonts w:hint="eastAsia" w:ascii="宋体" w:hAnsi="Times New Roman" w:eastAsia="黑体" w:cs="Times New Roman"/>
          <w:highlight w:val="none"/>
          <w:lang w:eastAsia="zh-CN"/>
        </w:rPr>
      </w:pPr>
    </w:p>
    <w:p w14:paraId="4B733C78">
      <w:pPr>
        <w:rPr>
          <w:rFonts w:hint="eastAsia" w:ascii="宋体" w:hAnsi="Times New Roman" w:eastAsia="黑体" w:cs="Times New Roman"/>
          <w:highlight w:val="none"/>
          <w:lang w:eastAsia="zh-CN"/>
        </w:rPr>
      </w:pPr>
    </w:p>
    <w:p w14:paraId="747D7B83">
      <w:pPr>
        <w:outlineLvl w:val="9"/>
        <w:rPr>
          <w:rFonts w:hint="eastAsia" w:ascii="宋体" w:hAnsi="Times New Roman" w:eastAsia="黑体" w:cs="Times New Roman"/>
          <w:highlight w:val="none"/>
          <w:lang w:eastAsia="zh-CN"/>
        </w:rPr>
      </w:pPr>
    </w:p>
    <w:p w14:paraId="199BB00E">
      <w:pPr>
        <w:rPr>
          <w:rFonts w:hint="eastAsia" w:ascii="宋体" w:hAnsi="Times New Roman" w:eastAsia="黑体" w:cs="Times New Roman"/>
          <w:highlight w:val="none"/>
          <w:lang w:eastAsia="zh-CN"/>
        </w:rPr>
      </w:pPr>
    </w:p>
    <w:p w14:paraId="6C9A9C81">
      <w:pPr>
        <w:outlineLvl w:val="9"/>
        <w:rPr>
          <w:rFonts w:hint="eastAsia" w:ascii="宋体" w:hAnsi="Times New Roman" w:eastAsia="黑体" w:cs="Times New Roman"/>
          <w:highlight w:val="none"/>
          <w:lang w:eastAsia="zh-CN"/>
        </w:rPr>
      </w:pPr>
    </w:p>
    <w:p w14:paraId="0DAB0CD8">
      <w:pPr>
        <w:rPr>
          <w:rFonts w:hint="eastAsia" w:ascii="宋体" w:hAnsi="Times New Roman" w:eastAsia="黑体" w:cs="Times New Roman"/>
          <w:highlight w:val="none"/>
          <w:lang w:eastAsia="zh-CN"/>
        </w:rPr>
      </w:pPr>
    </w:p>
    <w:p w14:paraId="7658AD7B">
      <w:pPr>
        <w:outlineLvl w:val="9"/>
        <w:rPr>
          <w:rFonts w:hint="eastAsia" w:ascii="宋体" w:hAnsi="Times New Roman" w:eastAsia="黑体" w:cs="Times New Roman"/>
          <w:highlight w:val="none"/>
          <w:lang w:eastAsia="zh-CN"/>
        </w:rPr>
      </w:pPr>
    </w:p>
    <w:p w14:paraId="4984F33D">
      <w:pPr>
        <w:rPr>
          <w:rFonts w:hint="eastAsia" w:ascii="宋体" w:hAnsi="Times New Roman" w:eastAsia="黑体" w:cs="Times New Roman"/>
          <w:highlight w:val="none"/>
          <w:lang w:eastAsia="zh-CN"/>
        </w:rPr>
      </w:pPr>
    </w:p>
    <w:p w14:paraId="5FFFC0EB">
      <w:pPr>
        <w:outlineLvl w:val="9"/>
        <w:rPr>
          <w:rFonts w:hint="eastAsia" w:ascii="宋体" w:hAnsi="Times New Roman" w:eastAsia="黑体" w:cs="Times New Roman"/>
          <w:highlight w:val="none"/>
          <w:lang w:eastAsia="zh-CN"/>
        </w:rPr>
      </w:pPr>
    </w:p>
    <w:p w14:paraId="7FA76F73">
      <w:pPr>
        <w:rPr>
          <w:rFonts w:hint="eastAsia" w:ascii="宋体" w:hAnsi="Times New Roman" w:eastAsia="黑体" w:cs="Times New Roman"/>
          <w:highlight w:val="none"/>
          <w:lang w:eastAsia="zh-CN"/>
        </w:rPr>
      </w:pPr>
    </w:p>
    <w:p w14:paraId="3BEED86A">
      <w:pPr>
        <w:outlineLvl w:val="9"/>
        <w:rPr>
          <w:rFonts w:hint="eastAsia" w:ascii="宋体" w:hAnsi="Times New Roman" w:eastAsia="黑体" w:cs="Times New Roman"/>
          <w:highlight w:val="none"/>
          <w:lang w:eastAsia="zh-CN"/>
        </w:rPr>
      </w:pPr>
    </w:p>
    <w:p w14:paraId="17A5F4FF">
      <w:pPr>
        <w:rPr>
          <w:rFonts w:hint="eastAsia"/>
          <w:lang w:eastAsia="zh-CN"/>
        </w:rPr>
      </w:pPr>
    </w:p>
    <w:p w14:paraId="389A1D8A">
      <w:pPr>
        <w:spacing w:before="240" w:beforeLines="100" w:line="510" w:lineRule="exact"/>
        <w:jc w:val="center"/>
        <w:rPr>
          <w:rFonts w:hint="eastAsia" w:ascii="宋体" w:hAnsi="Times New Roman" w:eastAsia="黑体" w:cs="Times New Roman"/>
          <w:highlight w:val="none"/>
          <w:lang w:eastAsia="zh-CN"/>
        </w:rPr>
      </w:pPr>
    </w:p>
    <w:p w14:paraId="26E031C4">
      <w:pPr>
        <w:outlineLvl w:val="9"/>
        <w:rPr>
          <w:rFonts w:hint="eastAsia" w:ascii="宋体" w:hAnsi="Times New Roman" w:eastAsia="黑体" w:cs="Times New Roman"/>
          <w:highlight w:val="none"/>
          <w:lang w:eastAsia="zh-CN"/>
        </w:rPr>
      </w:pPr>
    </w:p>
    <w:p w14:paraId="0AE76626">
      <w:pPr>
        <w:rPr>
          <w:rFonts w:hint="eastAsia" w:ascii="宋体" w:hAnsi="Times New Roman" w:eastAsia="黑体" w:cs="Times New Roman"/>
          <w:highlight w:val="none"/>
          <w:lang w:eastAsia="zh-CN"/>
        </w:rPr>
      </w:pPr>
    </w:p>
    <w:p w14:paraId="616132EC">
      <w:pPr>
        <w:outlineLvl w:val="9"/>
        <w:rPr>
          <w:rFonts w:hint="eastAsia"/>
          <w:lang w:eastAsia="zh-CN"/>
        </w:rPr>
      </w:pPr>
    </w:p>
    <w:p w14:paraId="2B5AF6F9">
      <w:pPr>
        <w:outlineLvl w:val="9"/>
        <w:rPr>
          <w:rFonts w:hint="eastAsia" w:ascii="宋体" w:hAnsi="Times New Roman" w:eastAsia="黑体" w:cs="Times New Roman"/>
          <w:highlight w:val="none"/>
          <w:lang w:eastAsia="zh-CN"/>
        </w:rPr>
      </w:pPr>
    </w:p>
    <w:p w14:paraId="4DD3C7B9">
      <w:pPr>
        <w:outlineLvl w:val="9"/>
        <w:rPr>
          <w:rFonts w:hint="eastAsia" w:ascii="宋体" w:hAnsi="Times New Roman" w:eastAsia="黑体" w:cs="Times New Roman"/>
          <w:highlight w:val="none"/>
          <w:lang w:eastAsia="zh-CN"/>
        </w:rPr>
      </w:pPr>
    </w:p>
    <w:p w14:paraId="342D7BF1">
      <w:pPr>
        <w:outlineLvl w:val="9"/>
        <w:rPr>
          <w:rFonts w:hint="eastAsia" w:ascii="宋体" w:hAnsi="Times New Roman" w:eastAsia="黑体" w:cs="Times New Roman"/>
          <w:highlight w:val="none"/>
          <w:lang w:eastAsia="zh-CN"/>
        </w:rPr>
      </w:pPr>
    </w:p>
    <w:p w14:paraId="3FFD50BE">
      <w:pPr>
        <w:outlineLvl w:val="9"/>
        <w:rPr>
          <w:rFonts w:hint="eastAsia" w:ascii="宋体" w:hAnsi="Times New Roman" w:eastAsia="黑体" w:cs="Times New Roman"/>
          <w:highlight w:val="none"/>
          <w:lang w:eastAsia="zh-CN"/>
        </w:rPr>
      </w:pPr>
    </w:p>
    <w:p w14:paraId="6B159D88">
      <w:pPr>
        <w:outlineLvl w:val="9"/>
        <w:rPr>
          <w:rFonts w:hint="eastAsia" w:ascii="宋体" w:hAnsi="Times New Roman" w:eastAsia="黑体" w:cs="Times New Roman"/>
          <w:highlight w:val="none"/>
          <w:lang w:eastAsia="zh-CN"/>
        </w:rPr>
      </w:pPr>
    </w:p>
    <w:p w14:paraId="61BDFF96">
      <w:pPr>
        <w:outlineLvl w:val="9"/>
        <w:rPr>
          <w:rFonts w:hint="eastAsia" w:ascii="宋体" w:hAnsi="Times New Roman" w:eastAsia="黑体" w:cs="Times New Roman"/>
          <w:highlight w:val="none"/>
          <w:lang w:eastAsia="zh-CN"/>
        </w:rPr>
      </w:pPr>
    </w:p>
    <w:p w14:paraId="4AEBC9BF">
      <w:pPr>
        <w:outlineLvl w:val="9"/>
        <w:rPr>
          <w:rFonts w:hint="eastAsia" w:ascii="宋体" w:hAnsi="Times New Roman" w:eastAsia="黑体" w:cs="Times New Roman"/>
          <w:highlight w:val="none"/>
          <w:lang w:eastAsia="zh-CN"/>
        </w:rPr>
      </w:pPr>
    </w:p>
    <w:p w14:paraId="5843F2AA">
      <w:pPr>
        <w:outlineLvl w:val="9"/>
        <w:rPr>
          <w:rFonts w:hint="eastAsia" w:ascii="宋体" w:hAnsi="Times New Roman" w:eastAsia="黑体" w:cs="Times New Roman"/>
          <w:highlight w:val="none"/>
          <w:lang w:eastAsia="zh-CN"/>
        </w:rPr>
      </w:pPr>
    </w:p>
    <w:p w14:paraId="34B4EDE8">
      <w:pPr>
        <w:rPr>
          <w:rFonts w:hint="eastAsia" w:ascii="宋体" w:hAnsi="Times New Roman" w:eastAsia="黑体" w:cs="Times New Roman"/>
          <w:highlight w:val="none"/>
          <w:lang w:eastAsia="zh-CN"/>
        </w:rPr>
      </w:pPr>
    </w:p>
    <w:p w14:paraId="5B4E5EB4">
      <w:pPr>
        <w:spacing w:before="240" w:beforeLines="100" w:line="510" w:lineRule="exact"/>
        <w:jc w:val="center"/>
        <w:outlineLvl w:val="9"/>
        <w:rPr>
          <w:rFonts w:hint="eastAsia" w:ascii="宋体" w:hAnsi="Times New Roman" w:eastAsia="宋体" w:cs="Times New Roman"/>
          <w:bCs w:val="0"/>
          <w:sz w:val="24"/>
          <w:highlight w:val="none"/>
          <w:lang w:val="en-US" w:eastAsia="zh-CN" w:bidi="ar-SA"/>
        </w:rPr>
      </w:pPr>
    </w:p>
    <w:p w14:paraId="45A8CDA1">
      <w:pPr>
        <w:spacing w:before="240" w:beforeLines="100" w:line="510" w:lineRule="exact"/>
        <w:jc w:val="both"/>
        <w:outlineLvl w:val="9"/>
        <w:rPr>
          <w:rFonts w:hint="eastAsia" w:ascii="宋体" w:hAnsi="Times New Roman" w:eastAsia="宋体" w:cs="Times New Roman"/>
          <w:bCs w:val="0"/>
          <w:sz w:val="24"/>
          <w:highlight w:val="none"/>
          <w:lang w:val="en-US" w:eastAsia="zh-CN" w:bidi="ar-SA"/>
        </w:rPr>
      </w:pPr>
    </w:p>
    <w:p w14:paraId="2587CC10">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2" w:name="_Toc4230"/>
      <w:r>
        <w:rPr>
          <w:rFonts w:hint="eastAsia" w:ascii="宋体" w:hAnsi="Times New Roman" w:eastAsia="宋体" w:cs="Times New Roman"/>
          <w:bCs w:val="0"/>
          <w:sz w:val="24"/>
          <w:highlight w:val="none"/>
          <w:lang w:val="en-US" w:eastAsia="zh-CN" w:bidi="ar-SA"/>
        </w:rPr>
        <w:t>八、项目管理机构</w:t>
      </w:r>
      <w:bookmarkEnd w:id="82"/>
    </w:p>
    <w:bookmarkEnd w:id="73"/>
    <w:bookmarkEnd w:id="74"/>
    <w:bookmarkEnd w:id="75"/>
    <w:p w14:paraId="4E561F67">
      <w:pPr>
        <w:tabs>
          <w:tab w:val="left" w:pos="4620"/>
        </w:tabs>
        <w:spacing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投标人可自行制作格式</w:t>
      </w:r>
      <w:r>
        <w:rPr>
          <w:rFonts w:hint="eastAsia" w:ascii="宋体" w:hAnsi="宋体"/>
          <w:color w:val="auto"/>
          <w:sz w:val="24"/>
          <w:highlight w:val="none"/>
        </w:rPr>
        <w:t>，应能体现出所有</w:t>
      </w:r>
      <w:r>
        <w:rPr>
          <w:rFonts w:hint="eastAsia" w:ascii="宋体" w:hAnsi="宋体"/>
          <w:color w:val="auto"/>
          <w:sz w:val="24"/>
          <w:highlight w:val="none"/>
          <w:lang w:eastAsia="zh-CN"/>
        </w:rPr>
        <w:t>磋商文件</w:t>
      </w:r>
      <w:r>
        <w:rPr>
          <w:rFonts w:hint="eastAsia" w:ascii="宋体" w:hAnsi="宋体"/>
          <w:color w:val="auto"/>
          <w:sz w:val="24"/>
          <w:highlight w:val="none"/>
        </w:rPr>
        <w:t>要求的内容，并附相关证明材料（扫描件），下列格式仅供参考。</w:t>
      </w:r>
    </w:p>
    <w:p w14:paraId="139CE328">
      <w:pPr>
        <w:tabs>
          <w:tab w:val="left" w:pos="4620"/>
        </w:tabs>
        <w:spacing w:line="360" w:lineRule="auto"/>
        <w:ind w:firstLine="482" w:firstLineChars="200"/>
        <w:outlineLvl w:val="9"/>
        <w:rPr>
          <w:rFonts w:ascii="宋体" w:hAnsi="宋体"/>
          <w:b/>
          <w:bCs/>
          <w:color w:val="auto"/>
          <w:sz w:val="24"/>
          <w:szCs w:val="24"/>
          <w:highlight w:val="none"/>
        </w:rPr>
      </w:pPr>
      <w:r>
        <w:rPr>
          <w:rFonts w:hint="eastAsia" w:ascii="宋体" w:hAnsi="宋体"/>
          <w:b/>
          <w:bCs/>
          <w:color w:val="auto"/>
          <w:sz w:val="24"/>
          <w:szCs w:val="24"/>
          <w:highlight w:val="none"/>
        </w:rPr>
        <w:t>（一）拟委任的主要人员汇总表</w:t>
      </w:r>
    </w:p>
    <w:tbl>
      <w:tblPr>
        <w:tblStyle w:val="23"/>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748"/>
        <w:gridCol w:w="1383"/>
        <w:gridCol w:w="969"/>
        <w:gridCol w:w="692"/>
        <w:gridCol w:w="740"/>
        <w:gridCol w:w="1107"/>
        <w:gridCol w:w="726"/>
        <w:gridCol w:w="15"/>
        <w:gridCol w:w="1119"/>
        <w:gridCol w:w="15"/>
        <w:gridCol w:w="775"/>
      </w:tblGrid>
      <w:tr w14:paraId="16FE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1" w:type="dxa"/>
            <w:gridSpan w:val="2"/>
            <w:noWrap w:val="0"/>
            <w:vAlign w:val="center"/>
          </w:tcPr>
          <w:p w14:paraId="79849FAE">
            <w:pPr>
              <w:spacing w:line="440" w:lineRule="exact"/>
              <w:jc w:val="center"/>
              <w:rPr>
                <w:color w:val="auto"/>
                <w:highlight w:val="none"/>
              </w:rPr>
            </w:pPr>
            <w:r>
              <w:rPr>
                <w:rFonts w:hint="eastAsia"/>
                <w:color w:val="auto"/>
                <w:highlight w:val="none"/>
              </w:rPr>
              <w:t>序号</w:t>
            </w:r>
          </w:p>
        </w:tc>
        <w:tc>
          <w:tcPr>
            <w:tcW w:w="1384" w:type="dxa"/>
            <w:vMerge w:val="restart"/>
            <w:noWrap w:val="0"/>
            <w:vAlign w:val="center"/>
          </w:tcPr>
          <w:p w14:paraId="3F305875">
            <w:pPr>
              <w:spacing w:line="440" w:lineRule="exact"/>
              <w:jc w:val="center"/>
              <w:rPr>
                <w:color w:val="auto"/>
                <w:highlight w:val="none"/>
              </w:rPr>
            </w:pPr>
            <w:r>
              <w:rPr>
                <w:rFonts w:hint="eastAsia"/>
                <w:color w:val="auto"/>
                <w:highlight w:val="none"/>
              </w:rPr>
              <w:t>本项目任职</w:t>
            </w:r>
          </w:p>
        </w:tc>
        <w:tc>
          <w:tcPr>
            <w:tcW w:w="969" w:type="dxa"/>
            <w:vMerge w:val="restart"/>
            <w:noWrap w:val="0"/>
            <w:vAlign w:val="center"/>
          </w:tcPr>
          <w:p w14:paraId="4407C2E8">
            <w:pPr>
              <w:spacing w:line="440" w:lineRule="exact"/>
              <w:jc w:val="center"/>
              <w:rPr>
                <w:color w:val="auto"/>
                <w:highlight w:val="none"/>
              </w:rPr>
            </w:pPr>
            <w:r>
              <w:rPr>
                <w:rFonts w:hint="eastAsia"/>
                <w:color w:val="auto"/>
                <w:highlight w:val="none"/>
              </w:rPr>
              <w:t>姓名</w:t>
            </w:r>
          </w:p>
        </w:tc>
        <w:tc>
          <w:tcPr>
            <w:tcW w:w="692" w:type="dxa"/>
            <w:vMerge w:val="restart"/>
            <w:noWrap w:val="0"/>
            <w:vAlign w:val="center"/>
          </w:tcPr>
          <w:p w14:paraId="761C44A7">
            <w:pPr>
              <w:spacing w:line="440" w:lineRule="exact"/>
              <w:jc w:val="center"/>
              <w:rPr>
                <w:color w:val="auto"/>
                <w:highlight w:val="none"/>
              </w:rPr>
            </w:pPr>
            <w:r>
              <w:rPr>
                <w:rFonts w:hint="eastAsia"/>
                <w:color w:val="auto"/>
                <w:highlight w:val="none"/>
              </w:rPr>
              <w:t>职称</w:t>
            </w:r>
          </w:p>
        </w:tc>
        <w:tc>
          <w:tcPr>
            <w:tcW w:w="740" w:type="dxa"/>
            <w:vMerge w:val="restart"/>
            <w:noWrap w:val="0"/>
            <w:vAlign w:val="center"/>
          </w:tcPr>
          <w:p w14:paraId="31DFC144">
            <w:pPr>
              <w:spacing w:line="440" w:lineRule="exact"/>
              <w:jc w:val="center"/>
              <w:rPr>
                <w:color w:val="auto"/>
                <w:highlight w:val="none"/>
              </w:rPr>
            </w:pPr>
            <w:r>
              <w:rPr>
                <w:rFonts w:hint="eastAsia"/>
                <w:color w:val="auto"/>
                <w:highlight w:val="none"/>
              </w:rPr>
              <w:t>专业</w:t>
            </w:r>
          </w:p>
        </w:tc>
        <w:tc>
          <w:tcPr>
            <w:tcW w:w="2967" w:type="dxa"/>
            <w:gridSpan w:val="4"/>
            <w:noWrap w:val="0"/>
            <w:vAlign w:val="center"/>
          </w:tcPr>
          <w:p w14:paraId="35E5ACB9">
            <w:pPr>
              <w:spacing w:line="440" w:lineRule="exact"/>
              <w:jc w:val="center"/>
              <w:rPr>
                <w:color w:val="auto"/>
                <w:highlight w:val="none"/>
              </w:rPr>
            </w:pPr>
            <w:r>
              <w:rPr>
                <w:rFonts w:hint="eastAsia"/>
                <w:color w:val="auto"/>
                <w:highlight w:val="none"/>
              </w:rPr>
              <w:t>执业或职业资格证明（如有）</w:t>
            </w:r>
          </w:p>
        </w:tc>
        <w:tc>
          <w:tcPr>
            <w:tcW w:w="790" w:type="dxa"/>
            <w:gridSpan w:val="2"/>
            <w:noWrap w:val="0"/>
            <w:vAlign w:val="center"/>
          </w:tcPr>
          <w:p w14:paraId="289B07F8">
            <w:pPr>
              <w:spacing w:line="440" w:lineRule="exact"/>
              <w:jc w:val="center"/>
              <w:rPr>
                <w:color w:val="auto"/>
                <w:highlight w:val="none"/>
              </w:rPr>
            </w:pPr>
            <w:r>
              <w:rPr>
                <w:rFonts w:hint="eastAsia"/>
                <w:color w:val="auto"/>
                <w:highlight w:val="none"/>
              </w:rPr>
              <w:t>备注</w:t>
            </w:r>
          </w:p>
        </w:tc>
      </w:tr>
      <w:tr w14:paraId="2ECB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369" w:hRule="atLeast"/>
          <w:jc w:val="center"/>
        </w:trPr>
        <w:tc>
          <w:tcPr>
            <w:tcW w:w="749" w:type="dxa"/>
            <w:noWrap w:val="0"/>
            <w:vAlign w:val="center"/>
          </w:tcPr>
          <w:p w14:paraId="37240E11">
            <w:pPr>
              <w:rPr>
                <w:color w:val="auto"/>
                <w:highlight w:val="none"/>
              </w:rPr>
            </w:pPr>
          </w:p>
        </w:tc>
        <w:tc>
          <w:tcPr>
            <w:tcW w:w="1384" w:type="dxa"/>
            <w:vMerge w:val="continue"/>
            <w:noWrap w:val="0"/>
            <w:vAlign w:val="top"/>
          </w:tcPr>
          <w:p w14:paraId="3E65105D">
            <w:pPr>
              <w:rPr>
                <w:color w:val="auto"/>
                <w:highlight w:val="none"/>
              </w:rPr>
            </w:pPr>
          </w:p>
        </w:tc>
        <w:tc>
          <w:tcPr>
            <w:tcW w:w="969" w:type="dxa"/>
            <w:vMerge w:val="continue"/>
            <w:noWrap w:val="0"/>
            <w:vAlign w:val="center"/>
          </w:tcPr>
          <w:p w14:paraId="3394B76F">
            <w:pPr>
              <w:rPr>
                <w:color w:val="auto"/>
                <w:highlight w:val="none"/>
              </w:rPr>
            </w:pPr>
          </w:p>
        </w:tc>
        <w:tc>
          <w:tcPr>
            <w:tcW w:w="692" w:type="dxa"/>
            <w:vMerge w:val="continue"/>
            <w:noWrap w:val="0"/>
            <w:vAlign w:val="center"/>
          </w:tcPr>
          <w:p w14:paraId="1F49EB1F">
            <w:pPr>
              <w:rPr>
                <w:color w:val="auto"/>
                <w:highlight w:val="none"/>
              </w:rPr>
            </w:pPr>
          </w:p>
        </w:tc>
        <w:tc>
          <w:tcPr>
            <w:tcW w:w="740" w:type="dxa"/>
            <w:vMerge w:val="continue"/>
            <w:noWrap w:val="0"/>
            <w:vAlign w:val="center"/>
          </w:tcPr>
          <w:p w14:paraId="777EF3C0">
            <w:pPr>
              <w:spacing w:line="440" w:lineRule="exact"/>
              <w:jc w:val="center"/>
              <w:rPr>
                <w:color w:val="auto"/>
                <w:highlight w:val="none"/>
              </w:rPr>
            </w:pPr>
          </w:p>
        </w:tc>
        <w:tc>
          <w:tcPr>
            <w:tcW w:w="1107" w:type="dxa"/>
            <w:noWrap w:val="0"/>
            <w:vAlign w:val="center"/>
          </w:tcPr>
          <w:p w14:paraId="2A8B49DA">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noWrap w:val="0"/>
            <w:vAlign w:val="center"/>
          </w:tcPr>
          <w:p w14:paraId="49EB4B57">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noWrap w:val="0"/>
            <w:vAlign w:val="center"/>
          </w:tcPr>
          <w:p w14:paraId="4705289A">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2"/>
            <w:noWrap w:val="0"/>
            <w:vAlign w:val="center"/>
          </w:tcPr>
          <w:p w14:paraId="32833AFF">
            <w:pPr>
              <w:spacing w:line="440" w:lineRule="exact"/>
              <w:jc w:val="center"/>
              <w:rPr>
                <w:color w:val="auto"/>
                <w:highlight w:val="none"/>
              </w:rPr>
            </w:pPr>
          </w:p>
        </w:tc>
      </w:tr>
      <w:tr w14:paraId="29B2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center"/>
          </w:tcPr>
          <w:p w14:paraId="15386626">
            <w:pPr>
              <w:spacing w:line="440" w:lineRule="exact"/>
              <w:jc w:val="center"/>
              <w:rPr>
                <w:color w:val="auto"/>
                <w:highlight w:val="none"/>
              </w:rPr>
            </w:pPr>
          </w:p>
        </w:tc>
        <w:tc>
          <w:tcPr>
            <w:tcW w:w="1384" w:type="dxa"/>
            <w:noWrap w:val="0"/>
            <w:vAlign w:val="top"/>
          </w:tcPr>
          <w:p w14:paraId="7C015483">
            <w:pPr>
              <w:spacing w:line="440" w:lineRule="exact"/>
              <w:jc w:val="center"/>
              <w:rPr>
                <w:color w:val="auto"/>
                <w:highlight w:val="none"/>
              </w:rPr>
            </w:pPr>
          </w:p>
        </w:tc>
        <w:tc>
          <w:tcPr>
            <w:tcW w:w="969" w:type="dxa"/>
            <w:noWrap w:val="0"/>
            <w:vAlign w:val="center"/>
          </w:tcPr>
          <w:p w14:paraId="6952AE6B">
            <w:pPr>
              <w:spacing w:line="440" w:lineRule="exact"/>
              <w:jc w:val="center"/>
              <w:rPr>
                <w:color w:val="auto"/>
                <w:highlight w:val="none"/>
              </w:rPr>
            </w:pPr>
          </w:p>
        </w:tc>
        <w:tc>
          <w:tcPr>
            <w:tcW w:w="692" w:type="dxa"/>
            <w:noWrap w:val="0"/>
            <w:vAlign w:val="center"/>
          </w:tcPr>
          <w:p w14:paraId="520DF769">
            <w:pPr>
              <w:spacing w:line="440" w:lineRule="exact"/>
              <w:jc w:val="center"/>
              <w:rPr>
                <w:color w:val="auto"/>
                <w:highlight w:val="none"/>
              </w:rPr>
            </w:pPr>
          </w:p>
        </w:tc>
        <w:tc>
          <w:tcPr>
            <w:tcW w:w="740" w:type="dxa"/>
            <w:noWrap w:val="0"/>
            <w:vAlign w:val="center"/>
          </w:tcPr>
          <w:p w14:paraId="321D3403">
            <w:pPr>
              <w:spacing w:line="440" w:lineRule="exact"/>
              <w:jc w:val="center"/>
              <w:rPr>
                <w:color w:val="auto"/>
                <w:highlight w:val="none"/>
              </w:rPr>
            </w:pPr>
          </w:p>
        </w:tc>
        <w:tc>
          <w:tcPr>
            <w:tcW w:w="1107" w:type="dxa"/>
            <w:noWrap w:val="0"/>
            <w:vAlign w:val="center"/>
          </w:tcPr>
          <w:p w14:paraId="44432FD7">
            <w:pPr>
              <w:spacing w:line="440" w:lineRule="exact"/>
              <w:jc w:val="center"/>
              <w:rPr>
                <w:color w:val="auto"/>
                <w:highlight w:val="none"/>
              </w:rPr>
            </w:pPr>
          </w:p>
        </w:tc>
        <w:tc>
          <w:tcPr>
            <w:tcW w:w="741" w:type="dxa"/>
            <w:gridSpan w:val="2"/>
            <w:noWrap w:val="0"/>
            <w:vAlign w:val="center"/>
          </w:tcPr>
          <w:p w14:paraId="139E4D1A">
            <w:pPr>
              <w:spacing w:line="440" w:lineRule="exact"/>
              <w:jc w:val="center"/>
              <w:rPr>
                <w:color w:val="auto"/>
                <w:highlight w:val="none"/>
              </w:rPr>
            </w:pPr>
          </w:p>
        </w:tc>
        <w:tc>
          <w:tcPr>
            <w:tcW w:w="1134" w:type="dxa"/>
            <w:gridSpan w:val="2"/>
            <w:noWrap w:val="0"/>
            <w:vAlign w:val="center"/>
          </w:tcPr>
          <w:p w14:paraId="550EEC04">
            <w:pPr>
              <w:spacing w:line="440" w:lineRule="exact"/>
              <w:jc w:val="center"/>
              <w:rPr>
                <w:color w:val="auto"/>
                <w:highlight w:val="none"/>
              </w:rPr>
            </w:pPr>
          </w:p>
        </w:tc>
        <w:tc>
          <w:tcPr>
            <w:tcW w:w="775" w:type="dxa"/>
            <w:noWrap w:val="0"/>
            <w:vAlign w:val="center"/>
          </w:tcPr>
          <w:p w14:paraId="49C90CBC">
            <w:pPr>
              <w:spacing w:line="440" w:lineRule="exact"/>
              <w:jc w:val="center"/>
              <w:rPr>
                <w:color w:val="auto"/>
                <w:highlight w:val="none"/>
              </w:rPr>
            </w:pPr>
          </w:p>
        </w:tc>
      </w:tr>
      <w:tr w14:paraId="7D61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top"/>
          </w:tcPr>
          <w:p w14:paraId="0DD95D0D">
            <w:pPr>
              <w:spacing w:line="440" w:lineRule="exact"/>
              <w:jc w:val="center"/>
              <w:rPr>
                <w:color w:val="auto"/>
                <w:highlight w:val="none"/>
              </w:rPr>
            </w:pPr>
          </w:p>
        </w:tc>
        <w:tc>
          <w:tcPr>
            <w:tcW w:w="1384" w:type="dxa"/>
            <w:noWrap w:val="0"/>
            <w:vAlign w:val="top"/>
          </w:tcPr>
          <w:p w14:paraId="28E7F986">
            <w:pPr>
              <w:spacing w:line="440" w:lineRule="exact"/>
              <w:jc w:val="center"/>
              <w:rPr>
                <w:color w:val="auto"/>
                <w:highlight w:val="none"/>
              </w:rPr>
            </w:pPr>
          </w:p>
        </w:tc>
        <w:tc>
          <w:tcPr>
            <w:tcW w:w="969" w:type="dxa"/>
            <w:noWrap w:val="0"/>
            <w:vAlign w:val="top"/>
          </w:tcPr>
          <w:p w14:paraId="230F5E48">
            <w:pPr>
              <w:spacing w:line="440" w:lineRule="exact"/>
              <w:jc w:val="center"/>
              <w:rPr>
                <w:color w:val="auto"/>
                <w:highlight w:val="none"/>
              </w:rPr>
            </w:pPr>
          </w:p>
        </w:tc>
        <w:tc>
          <w:tcPr>
            <w:tcW w:w="692" w:type="dxa"/>
            <w:noWrap w:val="0"/>
            <w:vAlign w:val="top"/>
          </w:tcPr>
          <w:p w14:paraId="7096CC53">
            <w:pPr>
              <w:spacing w:line="440" w:lineRule="exact"/>
              <w:jc w:val="center"/>
              <w:rPr>
                <w:color w:val="auto"/>
                <w:highlight w:val="none"/>
              </w:rPr>
            </w:pPr>
          </w:p>
        </w:tc>
        <w:tc>
          <w:tcPr>
            <w:tcW w:w="740" w:type="dxa"/>
            <w:noWrap w:val="0"/>
            <w:vAlign w:val="top"/>
          </w:tcPr>
          <w:p w14:paraId="66B62CC1">
            <w:pPr>
              <w:spacing w:line="440" w:lineRule="exact"/>
              <w:jc w:val="center"/>
              <w:rPr>
                <w:color w:val="auto"/>
                <w:highlight w:val="none"/>
              </w:rPr>
            </w:pPr>
          </w:p>
        </w:tc>
        <w:tc>
          <w:tcPr>
            <w:tcW w:w="1107" w:type="dxa"/>
            <w:noWrap w:val="0"/>
            <w:vAlign w:val="top"/>
          </w:tcPr>
          <w:p w14:paraId="3BD40F86">
            <w:pPr>
              <w:spacing w:line="440" w:lineRule="exact"/>
              <w:jc w:val="center"/>
              <w:rPr>
                <w:color w:val="auto"/>
                <w:highlight w:val="none"/>
              </w:rPr>
            </w:pPr>
          </w:p>
        </w:tc>
        <w:tc>
          <w:tcPr>
            <w:tcW w:w="741" w:type="dxa"/>
            <w:gridSpan w:val="2"/>
            <w:noWrap w:val="0"/>
            <w:vAlign w:val="top"/>
          </w:tcPr>
          <w:p w14:paraId="05910A1F">
            <w:pPr>
              <w:spacing w:line="440" w:lineRule="exact"/>
              <w:jc w:val="center"/>
              <w:rPr>
                <w:color w:val="auto"/>
                <w:highlight w:val="none"/>
              </w:rPr>
            </w:pPr>
          </w:p>
        </w:tc>
        <w:tc>
          <w:tcPr>
            <w:tcW w:w="1134" w:type="dxa"/>
            <w:gridSpan w:val="2"/>
            <w:noWrap w:val="0"/>
            <w:vAlign w:val="top"/>
          </w:tcPr>
          <w:p w14:paraId="7776EF39">
            <w:pPr>
              <w:spacing w:line="440" w:lineRule="exact"/>
              <w:jc w:val="center"/>
              <w:rPr>
                <w:color w:val="auto"/>
                <w:highlight w:val="none"/>
              </w:rPr>
            </w:pPr>
          </w:p>
        </w:tc>
        <w:tc>
          <w:tcPr>
            <w:tcW w:w="775" w:type="dxa"/>
            <w:noWrap w:val="0"/>
            <w:vAlign w:val="top"/>
          </w:tcPr>
          <w:p w14:paraId="0268F5FF">
            <w:pPr>
              <w:spacing w:line="440" w:lineRule="exact"/>
              <w:jc w:val="center"/>
              <w:rPr>
                <w:color w:val="auto"/>
                <w:highlight w:val="none"/>
              </w:rPr>
            </w:pPr>
          </w:p>
        </w:tc>
      </w:tr>
      <w:tr w14:paraId="104A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top"/>
          </w:tcPr>
          <w:p w14:paraId="337EFEE1">
            <w:pPr>
              <w:spacing w:line="440" w:lineRule="exact"/>
              <w:jc w:val="center"/>
              <w:rPr>
                <w:color w:val="auto"/>
                <w:highlight w:val="none"/>
              </w:rPr>
            </w:pPr>
          </w:p>
        </w:tc>
        <w:tc>
          <w:tcPr>
            <w:tcW w:w="1384" w:type="dxa"/>
            <w:noWrap w:val="0"/>
            <w:vAlign w:val="top"/>
          </w:tcPr>
          <w:p w14:paraId="03A2516E">
            <w:pPr>
              <w:spacing w:line="440" w:lineRule="exact"/>
              <w:jc w:val="center"/>
              <w:rPr>
                <w:color w:val="auto"/>
                <w:highlight w:val="none"/>
              </w:rPr>
            </w:pPr>
          </w:p>
        </w:tc>
        <w:tc>
          <w:tcPr>
            <w:tcW w:w="969" w:type="dxa"/>
            <w:noWrap w:val="0"/>
            <w:vAlign w:val="top"/>
          </w:tcPr>
          <w:p w14:paraId="6C7FC7B1">
            <w:pPr>
              <w:spacing w:line="440" w:lineRule="exact"/>
              <w:jc w:val="center"/>
              <w:rPr>
                <w:color w:val="auto"/>
                <w:highlight w:val="none"/>
              </w:rPr>
            </w:pPr>
          </w:p>
        </w:tc>
        <w:tc>
          <w:tcPr>
            <w:tcW w:w="692" w:type="dxa"/>
            <w:noWrap w:val="0"/>
            <w:vAlign w:val="top"/>
          </w:tcPr>
          <w:p w14:paraId="094039BB">
            <w:pPr>
              <w:spacing w:line="440" w:lineRule="exact"/>
              <w:jc w:val="center"/>
              <w:rPr>
                <w:color w:val="auto"/>
                <w:highlight w:val="none"/>
              </w:rPr>
            </w:pPr>
          </w:p>
        </w:tc>
        <w:tc>
          <w:tcPr>
            <w:tcW w:w="740" w:type="dxa"/>
            <w:noWrap w:val="0"/>
            <w:vAlign w:val="top"/>
          </w:tcPr>
          <w:p w14:paraId="5A0AFC0B">
            <w:pPr>
              <w:spacing w:line="440" w:lineRule="exact"/>
              <w:jc w:val="center"/>
              <w:rPr>
                <w:color w:val="auto"/>
                <w:highlight w:val="none"/>
              </w:rPr>
            </w:pPr>
          </w:p>
        </w:tc>
        <w:tc>
          <w:tcPr>
            <w:tcW w:w="1107" w:type="dxa"/>
            <w:noWrap w:val="0"/>
            <w:vAlign w:val="top"/>
          </w:tcPr>
          <w:p w14:paraId="408E46DC">
            <w:pPr>
              <w:spacing w:line="440" w:lineRule="exact"/>
              <w:jc w:val="center"/>
              <w:rPr>
                <w:color w:val="auto"/>
                <w:highlight w:val="none"/>
              </w:rPr>
            </w:pPr>
          </w:p>
        </w:tc>
        <w:tc>
          <w:tcPr>
            <w:tcW w:w="741" w:type="dxa"/>
            <w:gridSpan w:val="2"/>
            <w:noWrap w:val="0"/>
            <w:vAlign w:val="top"/>
          </w:tcPr>
          <w:p w14:paraId="09BDD89C">
            <w:pPr>
              <w:spacing w:line="440" w:lineRule="exact"/>
              <w:jc w:val="center"/>
              <w:rPr>
                <w:color w:val="auto"/>
                <w:highlight w:val="none"/>
              </w:rPr>
            </w:pPr>
          </w:p>
        </w:tc>
        <w:tc>
          <w:tcPr>
            <w:tcW w:w="1134" w:type="dxa"/>
            <w:gridSpan w:val="2"/>
            <w:noWrap w:val="0"/>
            <w:vAlign w:val="top"/>
          </w:tcPr>
          <w:p w14:paraId="0BA10498">
            <w:pPr>
              <w:spacing w:line="440" w:lineRule="exact"/>
              <w:jc w:val="center"/>
              <w:rPr>
                <w:color w:val="auto"/>
                <w:highlight w:val="none"/>
              </w:rPr>
            </w:pPr>
          </w:p>
        </w:tc>
        <w:tc>
          <w:tcPr>
            <w:tcW w:w="775" w:type="dxa"/>
            <w:noWrap w:val="0"/>
            <w:vAlign w:val="top"/>
          </w:tcPr>
          <w:p w14:paraId="0701F9A4">
            <w:pPr>
              <w:spacing w:line="440" w:lineRule="exact"/>
              <w:jc w:val="center"/>
              <w:rPr>
                <w:color w:val="auto"/>
                <w:highlight w:val="none"/>
              </w:rPr>
            </w:pPr>
          </w:p>
        </w:tc>
      </w:tr>
      <w:tr w14:paraId="55D9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top"/>
          </w:tcPr>
          <w:p w14:paraId="1B7FDD78">
            <w:pPr>
              <w:spacing w:line="440" w:lineRule="exact"/>
              <w:jc w:val="center"/>
              <w:rPr>
                <w:color w:val="auto"/>
                <w:highlight w:val="none"/>
              </w:rPr>
            </w:pPr>
          </w:p>
        </w:tc>
        <w:tc>
          <w:tcPr>
            <w:tcW w:w="1384" w:type="dxa"/>
            <w:noWrap w:val="0"/>
            <w:vAlign w:val="top"/>
          </w:tcPr>
          <w:p w14:paraId="06915E3E">
            <w:pPr>
              <w:spacing w:line="440" w:lineRule="exact"/>
              <w:jc w:val="center"/>
              <w:rPr>
                <w:color w:val="auto"/>
                <w:highlight w:val="none"/>
              </w:rPr>
            </w:pPr>
          </w:p>
        </w:tc>
        <w:tc>
          <w:tcPr>
            <w:tcW w:w="969" w:type="dxa"/>
            <w:noWrap w:val="0"/>
            <w:vAlign w:val="top"/>
          </w:tcPr>
          <w:p w14:paraId="74ED260E">
            <w:pPr>
              <w:spacing w:line="440" w:lineRule="exact"/>
              <w:jc w:val="center"/>
              <w:rPr>
                <w:color w:val="auto"/>
                <w:highlight w:val="none"/>
              </w:rPr>
            </w:pPr>
          </w:p>
        </w:tc>
        <w:tc>
          <w:tcPr>
            <w:tcW w:w="692" w:type="dxa"/>
            <w:noWrap w:val="0"/>
            <w:vAlign w:val="top"/>
          </w:tcPr>
          <w:p w14:paraId="4BF96404">
            <w:pPr>
              <w:spacing w:line="440" w:lineRule="exact"/>
              <w:jc w:val="center"/>
              <w:rPr>
                <w:color w:val="auto"/>
                <w:highlight w:val="none"/>
              </w:rPr>
            </w:pPr>
          </w:p>
        </w:tc>
        <w:tc>
          <w:tcPr>
            <w:tcW w:w="740" w:type="dxa"/>
            <w:noWrap w:val="0"/>
            <w:vAlign w:val="top"/>
          </w:tcPr>
          <w:p w14:paraId="6E996890">
            <w:pPr>
              <w:spacing w:line="440" w:lineRule="exact"/>
              <w:jc w:val="center"/>
              <w:rPr>
                <w:color w:val="auto"/>
                <w:highlight w:val="none"/>
              </w:rPr>
            </w:pPr>
          </w:p>
        </w:tc>
        <w:tc>
          <w:tcPr>
            <w:tcW w:w="1107" w:type="dxa"/>
            <w:noWrap w:val="0"/>
            <w:vAlign w:val="top"/>
          </w:tcPr>
          <w:p w14:paraId="0F94BEB3">
            <w:pPr>
              <w:spacing w:line="440" w:lineRule="exact"/>
              <w:jc w:val="center"/>
              <w:rPr>
                <w:color w:val="auto"/>
                <w:highlight w:val="none"/>
              </w:rPr>
            </w:pPr>
          </w:p>
        </w:tc>
        <w:tc>
          <w:tcPr>
            <w:tcW w:w="741" w:type="dxa"/>
            <w:gridSpan w:val="2"/>
            <w:noWrap w:val="0"/>
            <w:vAlign w:val="top"/>
          </w:tcPr>
          <w:p w14:paraId="4656B3F0">
            <w:pPr>
              <w:spacing w:line="440" w:lineRule="exact"/>
              <w:jc w:val="center"/>
              <w:rPr>
                <w:color w:val="auto"/>
                <w:highlight w:val="none"/>
              </w:rPr>
            </w:pPr>
          </w:p>
        </w:tc>
        <w:tc>
          <w:tcPr>
            <w:tcW w:w="1134" w:type="dxa"/>
            <w:gridSpan w:val="2"/>
            <w:noWrap w:val="0"/>
            <w:vAlign w:val="top"/>
          </w:tcPr>
          <w:p w14:paraId="06672E2C">
            <w:pPr>
              <w:spacing w:line="440" w:lineRule="exact"/>
              <w:jc w:val="center"/>
              <w:rPr>
                <w:color w:val="auto"/>
                <w:highlight w:val="none"/>
              </w:rPr>
            </w:pPr>
          </w:p>
        </w:tc>
        <w:tc>
          <w:tcPr>
            <w:tcW w:w="775" w:type="dxa"/>
            <w:noWrap w:val="0"/>
            <w:vAlign w:val="top"/>
          </w:tcPr>
          <w:p w14:paraId="59556B91">
            <w:pPr>
              <w:spacing w:line="440" w:lineRule="exact"/>
              <w:jc w:val="center"/>
              <w:rPr>
                <w:color w:val="auto"/>
                <w:highlight w:val="none"/>
              </w:rPr>
            </w:pPr>
          </w:p>
        </w:tc>
      </w:tr>
      <w:tr w14:paraId="0E37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top"/>
          </w:tcPr>
          <w:p w14:paraId="5878347D">
            <w:pPr>
              <w:spacing w:line="440" w:lineRule="exact"/>
              <w:jc w:val="center"/>
              <w:rPr>
                <w:color w:val="auto"/>
                <w:highlight w:val="none"/>
              </w:rPr>
            </w:pPr>
          </w:p>
        </w:tc>
        <w:tc>
          <w:tcPr>
            <w:tcW w:w="1384" w:type="dxa"/>
            <w:noWrap w:val="0"/>
            <w:vAlign w:val="top"/>
          </w:tcPr>
          <w:p w14:paraId="6B08EA65">
            <w:pPr>
              <w:spacing w:line="440" w:lineRule="exact"/>
              <w:jc w:val="center"/>
              <w:rPr>
                <w:color w:val="auto"/>
                <w:highlight w:val="none"/>
              </w:rPr>
            </w:pPr>
          </w:p>
        </w:tc>
        <w:tc>
          <w:tcPr>
            <w:tcW w:w="969" w:type="dxa"/>
            <w:noWrap w:val="0"/>
            <w:vAlign w:val="top"/>
          </w:tcPr>
          <w:p w14:paraId="44D33B80">
            <w:pPr>
              <w:spacing w:line="440" w:lineRule="exact"/>
              <w:jc w:val="center"/>
              <w:rPr>
                <w:color w:val="auto"/>
                <w:highlight w:val="none"/>
              </w:rPr>
            </w:pPr>
          </w:p>
        </w:tc>
        <w:tc>
          <w:tcPr>
            <w:tcW w:w="692" w:type="dxa"/>
            <w:noWrap w:val="0"/>
            <w:vAlign w:val="top"/>
          </w:tcPr>
          <w:p w14:paraId="3117128F">
            <w:pPr>
              <w:spacing w:line="440" w:lineRule="exact"/>
              <w:jc w:val="center"/>
              <w:rPr>
                <w:color w:val="auto"/>
                <w:highlight w:val="none"/>
              </w:rPr>
            </w:pPr>
          </w:p>
        </w:tc>
        <w:tc>
          <w:tcPr>
            <w:tcW w:w="740" w:type="dxa"/>
            <w:noWrap w:val="0"/>
            <w:vAlign w:val="top"/>
          </w:tcPr>
          <w:p w14:paraId="19D66FC4">
            <w:pPr>
              <w:spacing w:line="440" w:lineRule="exact"/>
              <w:jc w:val="center"/>
              <w:rPr>
                <w:color w:val="auto"/>
                <w:highlight w:val="none"/>
              </w:rPr>
            </w:pPr>
          </w:p>
        </w:tc>
        <w:tc>
          <w:tcPr>
            <w:tcW w:w="1107" w:type="dxa"/>
            <w:noWrap w:val="0"/>
            <w:vAlign w:val="top"/>
          </w:tcPr>
          <w:p w14:paraId="71C1D46F">
            <w:pPr>
              <w:spacing w:line="440" w:lineRule="exact"/>
              <w:jc w:val="center"/>
              <w:rPr>
                <w:color w:val="auto"/>
                <w:highlight w:val="none"/>
              </w:rPr>
            </w:pPr>
          </w:p>
        </w:tc>
        <w:tc>
          <w:tcPr>
            <w:tcW w:w="741" w:type="dxa"/>
            <w:gridSpan w:val="2"/>
            <w:noWrap w:val="0"/>
            <w:vAlign w:val="top"/>
          </w:tcPr>
          <w:p w14:paraId="08C289C5">
            <w:pPr>
              <w:spacing w:line="440" w:lineRule="exact"/>
              <w:jc w:val="center"/>
              <w:rPr>
                <w:color w:val="auto"/>
                <w:highlight w:val="none"/>
              </w:rPr>
            </w:pPr>
          </w:p>
        </w:tc>
        <w:tc>
          <w:tcPr>
            <w:tcW w:w="1134" w:type="dxa"/>
            <w:gridSpan w:val="2"/>
            <w:noWrap w:val="0"/>
            <w:vAlign w:val="top"/>
          </w:tcPr>
          <w:p w14:paraId="553B93B0">
            <w:pPr>
              <w:spacing w:line="440" w:lineRule="exact"/>
              <w:jc w:val="center"/>
              <w:rPr>
                <w:color w:val="auto"/>
                <w:highlight w:val="none"/>
              </w:rPr>
            </w:pPr>
          </w:p>
        </w:tc>
        <w:tc>
          <w:tcPr>
            <w:tcW w:w="775" w:type="dxa"/>
            <w:noWrap w:val="0"/>
            <w:vAlign w:val="top"/>
          </w:tcPr>
          <w:p w14:paraId="2E9FE765">
            <w:pPr>
              <w:spacing w:line="440" w:lineRule="exact"/>
              <w:jc w:val="center"/>
              <w:rPr>
                <w:color w:val="auto"/>
                <w:highlight w:val="none"/>
              </w:rPr>
            </w:pPr>
          </w:p>
        </w:tc>
      </w:tr>
      <w:tr w14:paraId="7DF8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6" w:type="dxa"/>
            <w:noWrap w:val="0"/>
            <w:vAlign w:val="top"/>
          </w:tcPr>
          <w:p w14:paraId="7EBB26A4">
            <w:pPr>
              <w:spacing w:line="440" w:lineRule="exact"/>
              <w:jc w:val="center"/>
              <w:rPr>
                <w:color w:val="auto"/>
                <w:highlight w:val="none"/>
              </w:rPr>
            </w:pPr>
          </w:p>
        </w:tc>
        <w:tc>
          <w:tcPr>
            <w:tcW w:w="1384" w:type="dxa"/>
            <w:noWrap w:val="0"/>
            <w:vAlign w:val="top"/>
          </w:tcPr>
          <w:p w14:paraId="2508411B">
            <w:pPr>
              <w:spacing w:line="440" w:lineRule="exact"/>
              <w:jc w:val="center"/>
              <w:rPr>
                <w:color w:val="auto"/>
                <w:highlight w:val="none"/>
              </w:rPr>
            </w:pPr>
          </w:p>
        </w:tc>
        <w:tc>
          <w:tcPr>
            <w:tcW w:w="969" w:type="dxa"/>
            <w:noWrap w:val="0"/>
            <w:vAlign w:val="top"/>
          </w:tcPr>
          <w:p w14:paraId="091E3A8D">
            <w:pPr>
              <w:spacing w:line="440" w:lineRule="exact"/>
              <w:jc w:val="center"/>
              <w:rPr>
                <w:color w:val="auto"/>
                <w:highlight w:val="none"/>
              </w:rPr>
            </w:pPr>
          </w:p>
        </w:tc>
        <w:tc>
          <w:tcPr>
            <w:tcW w:w="692" w:type="dxa"/>
            <w:noWrap w:val="0"/>
            <w:vAlign w:val="top"/>
          </w:tcPr>
          <w:p w14:paraId="33053ABD">
            <w:pPr>
              <w:spacing w:line="440" w:lineRule="exact"/>
              <w:jc w:val="center"/>
              <w:rPr>
                <w:color w:val="auto"/>
                <w:highlight w:val="none"/>
              </w:rPr>
            </w:pPr>
          </w:p>
        </w:tc>
        <w:tc>
          <w:tcPr>
            <w:tcW w:w="740" w:type="dxa"/>
            <w:noWrap w:val="0"/>
            <w:vAlign w:val="top"/>
          </w:tcPr>
          <w:p w14:paraId="7B2C25F3">
            <w:pPr>
              <w:spacing w:line="440" w:lineRule="exact"/>
              <w:jc w:val="center"/>
              <w:rPr>
                <w:color w:val="auto"/>
                <w:highlight w:val="none"/>
              </w:rPr>
            </w:pPr>
          </w:p>
        </w:tc>
        <w:tc>
          <w:tcPr>
            <w:tcW w:w="1107" w:type="dxa"/>
            <w:noWrap w:val="0"/>
            <w:vAlign w:val="top"/>
          </w:tcPr>
          <w:p w14:paraId="7D3D188A">
            <w:pPr>
              <w:spacing w:line="440" w:lineRule="exact"/>
              <w:jc w:val="center"/>
              <w:rPr>
                <w:color w:val="auto"/>
                <w:highlight w:val="none"/>
              </w:rPr>
            </w:pPr>
          </w:p>
        </w:tc>
        <w:tc>
          <w:tcPr>
            <w:tcW w:w="741" w:type="dxa"/>
            <w:gridSpan w:val="2"/>
            <w:noWrap w:val="0"/>
            <w:vAlign w:val="top"/>
          </w:tcPr>
          <w:p w14:paraId="19EBA0A4">
            <w:pPr>
              <w:spacing w:line="440" w:lineRule="exact"/>
              <w:jc w:val="center"/>
              <w:rPr>
                <w:color w:val="auto"/>
                <w:highlight w:val="none"/>
              </w:rPr>
            </w:pPr>
          </w:p>
        </w:tc>
        <w:tc>
          <w:tcPr>
            <w:tcW w:w="1134" w:type="dxa"/>
            <w:gridSpan w:val="2"/>
            <w:noWrap w:val="0"/>
            <w:vAlign w:val="top"/>
          </w:tcPr>
          <w:p w14:paraId="2B9B71A3">
            <w:pPr>
              <w:spacing w:line="440" w:lineRule="exact"/>
              <w:jc w:val="center"/>
              <w:rPr>
                <w:color w:val="auto"/>
                <w:highlight w:val="none"/>
              </w:rPr>
            </w:pPr>
          </w:p>
        </w:tc>
        <w:tc>
          <w:tcPr>
            <w:tcW w:w="775" w:type="dxa"/>
            <w:noWrap w:val="0"/>
            <w:vAlign w:val="top"/>
          </w:tcPr>
          <w:p w14:paraId="1201EC7E">
            <w:pPr>
              <w:spacing w:line="440" w:lineRule="exact"/>
              <w:jc w:val="center"/>
              <w:rPr>
                <w:color w:val="auto"/>
                <w:highlight w:val="none"/>
              </w:rPr>
            </w:pPr>
          </w:p>
        </w:tc>
      </w:tr>
      <w:tr w14:paraId="2C91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02" w:hRule="atLeast"/>
          <w:jc w:val="center"/>
        </w:trPr>
        <w:tc>
          <w:tcPr>
            <w:tcW w:w="746" w:type="dxa"/>
            <w:noWrap w:val="0"/>
            <w:vAlign w:val="top"/>
          </w:tcPr>
          <w:p w14:paraId="786C982E">
            <w:pPr>
              <w:spacing w:line="440" w:lineRule="exact"/>
              <w:jc w:val="center"/>
              <w:rPr>
                <w:color w:val="auto"/>
                <w:highlight w:val="none"/>
              </w:rPr>
            </w:pPr>
          </w:p>
        </w:tc>
        <w:tc>
          <w:tcPr>
            <w:tcW w:w="1384" w:type="dxa"/>
            <w:noWrap w:val="0"/>
            <w:vAlign w:val="top"/>
          </w:tcPr>
          <w:p w14:paraId="0F3D2981">
            <w:pPr>
              <w:spacing w:line="440" w:lineRule="exact"/>
              <w:jc w:val="center"/>
              <w:rPr>
                <w:color w:val="auto"/>
                <w:highlight w:val="none"/>
              </w:rPr>
            </w:pPr>
          </w:p>
        </w:tc>
        <w:tc>
          <w:tcPr>
            <w:tcW w:w="969" w:type="dxa"/>
            <w:noWrap w:val="0"/>
            <w:vAlign w:val="top"/>
          </w:tcPr>
          <w:p w14:paraId="3ABC1F7B">
            <w:pPr>
              <w:spacing w:line="440" w:lineRule="exact"/>
              <w:jc w:val="center"/>
              <w:rPr>
                <w:color w:val="auto"/>
                <w:highlight w:val="none"/>
              </w:rPr>
            </w:pPr>
          </w:p>
        </w:tc>
        <w:tc>
          <w:tcPr>
            <w:tcW w:w="692" w:type="dxa"/>
            <w:noWrap w:val="0"/>
            <w:vAlign w:val="top"/>
          </w:tcPr>
          <w:p w14:paraId="29B53BB2">
            <w:pPr>
              <w:spacing w:line="440" w:lineRule="exact"/>
              <w:jc w:val="center"/>
              <w:rPr>
                <w:color w:val="auto"/>
                <w:highlight w:val="none"/>
              </w:rPr>
            </w:pPr>
          </w:p>
        </w:tc>
        <w:tc>
          <w:tcPr>
            <w:tcW w:w="740" w:type="dxa"/>
            <w:noWrap w:val="0"/>
            <w:vAlign w:val="top"/>
          </w:tcPr>
          <w:p w14:paraId="03C7F6DB">
            <w:pPr>
              <w:spacing w:line="440" w:lineRule="exact"/>
              <w:jc w:val="center"/>
              <w:rPr>
                <w:color w:val="auto"/>
                <w:highlight w:val="none"/>
              </w:rPr>
            </w:pPr>
          </w:p>
        </w:tc>
        <w:tc>
          <w:tcPr>
            <w:tcW w:w="1107" w:type="dxa"/>
            <w:noWrap w:val="0"/>
            <w:vAlign w:val="top"/>
          </w:tcPr>
          <w:p w14:paraId="6C9EB6B6">
            <w:pPr>
              <w:spacing w:line="440" w:lineRule="exact"/>
              <w:jc w:val="center"/>
              <w:rPr>
                <w:color w:val="auto"/>
                <w:highlight w:val="none"/>
              </w:rPr>
            </w:pPr>
          </w:p>
        </w:tc>
        <w:tc>
          <w:tcPr>
            <w:tcW w:w="741" w:type="dxa"/>
            <w:gridSpan w:val="2"/>
            <w:noWrap w:val="0"/>
            <w:vAlign w:val="top"/>
          </w:tcPr>
          <w:p w14:paraId="3622EE57">
            <w:pPr>
              <w:spacing w:line="440" w:lineRule="exact"/>
              <w:jc w:val="center"/>
              <w:rPr>
                <w:color w:val="auto"/>
                <w:highlight w:val="none"/>
              </w:rPr>
            </w:pPr>
          </w:p>
        </w:tc>
        <w:tc>
          <w:tcPr>
            <w:tcW w:w="1134" w:type="dxa"/>
            <w:gridSpan w:val="2"/>
            <w:noWrap w:val="0"/>
            <w:vAlign w:val="top"/>
          </w:tcPr>
          <w:p w14:paraId="26B31CFC">
            <w:pPr>
              <w:spacing w:line="440" w:lineRule="exact"/>
              <w:jc w:val="center"/>
              <w:rPr>
                <w:color w:val="auto"/>
                <w:highlight w:val="none"/>
              </w:rPr>
            </w:pPr>
          </w:p>
        </w:tc>
        <w:tc>
          <w:tcPr>
            <w:tcW w:w="775" w:type="dxa"/>
            <w:noWrap w:val="0"/>
            <w:vAlign w:val="top"/>
          </w:tcPr>
          <w:p w14:paraId="1DAE15DA">
            <w:pPr>
              <w:spacing w:line="440" w:lineRule="exact"/>
              <w:jc w:val="center"/>
              <w:rPr>
                <w:color w:val="auto"/>
                <w:highlight w:val="none"/>
              </w:rPr>
            </w:pPr>
          </w:p>
        </w:tc>
      </w:tr>
      <w:tr w14:paraId="7DF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26" w:hRule="atLeast"/>
          <w:jc w:val="center"/>
        </w:trPr>
        <w:tc>
          <w:tcPr>
            <w:tcW w:w="746" w:type="dxa"/>
            <w:noWrap w:val="0"/>
            <w:vAlign w:val="top"/>
          </w:tcPr>
          <w:p w14:paraId="3B99D544">
            <w:pPr>
              <w:spacing w:line="440" w:lineRule="exact"/>
              <w:jc w:val="center"/>
              <w:rPr>
                <w:color w:val="auto"/>
                <w:highlight w:val="none"/>
              </w:rPr>
            </w:pPr>
          </w:p>
        </w:tc>
        <w:tc>
          <w:tcPr>
            <w:tcW w:w="1384" w:type="dxa"/>
            <w:noWrap w:val="0"/>
            <w:vAlign w:val="top"/>
          </w:tcPr>
          <w:p w14:paraId="1E659D38">
            <w:pPr>
              <w:spacing w:line="440" w:lineRule="exact"/>
              <w:jc w:val="center"/>
              <w:rPr>
                <w:color w:val="auto"/>
                <w:highlight w:val="none"/>
              </w:rPr>
            </w:pPr>
          </w:p>
        </w:tc>
        <w:tc>
          <w:tcPr>
            <w:tcW w:w="969" w:type="dxa"/>
            <w:noWrap w:val="0"/>
            <w:vAlign w:val="top"/>
          </w:tcPr>
          <w:p w14:paraId="367B83B6">
            <w:pPr>
              <w:spacing w:line="440" w:lineRule="exact"/>
              <w:jc w:val="center"/>
              <w:rPr>
                <w:color w:val="auto"/>
                <w:highlight w:val="none"/>
              </w:rPr>
            </w:pPr>
          </w:p>
        </w:tc>
        <w:tc>
          <w:tcPr>
            <w:tcW w:w="692" w:type="dxa"/>
            <w:noWrap w:val="0"/>
            <w:vAlign w:val="top"/>
          </w:tcPr>
          <w:p w14:paraId="3A223E16">
            <w:pPr>
              <w:spacing w:line="440" w:lineRule="exact"/>
              <w:jc w:val="center"/>
              <w:rPr>
                <w:color w:val="auto"/>
                <w:highlight w:val="none"/>
              </w:rPr>
            </w:pPr>
          </w:p>
        </w:tc>
        <w:tc>
          <w:tcPr>
            <w:tcW w:w="740" w:type="dxa"/>
            <w:noWrap w:val="0"/>
            <w:vAlign w:val="top"/>
          </w:tcPr>
          <w:p w14:paraId="7E6F23C0">
            <w:pPr>
              <w:spacing w:line="440" w:lineRule="exact"/>
              <w:jc w:val="center"/>
              <w:rPr>
                <w:color w:val="auto"/>
                <w:highlight w:val="none"/>
              </w:rPr>
            </w:pPr>
          </w:p>
        </w:tc>
        <w:tc>
          <w:tcPr>
            <w:tcW w:w="1107" w:type="dxa"/>
            <w:noWrap w:val="0"/>
            <w:vAlign w:val="top"/>
          </w:tcPr>
          <w:p w14:paraId="02428A9E">
            <w:pPr>
              <w:spacing w:line="440" w:lineRule="exact"/>
              <w:jc w:val="center"/>
              <w:rPr>
                <w:color w:val="auto"/>
                <w:highlight w:val="none"/>
              </w:rPr>
            </w:pPr>
          </w:p>
        </w:tc>
        <w:tc>
          <w:tcPr>
            <w:tcW w:w="741" w:type="dxa"/>
            <w:gridSpan w:val="2"/>
            <w:noWrap w:val="0"/>
            <w:vAlign w:val="top"/>
          </w:tcPr>
          <w:p w14:paraId="468D9671">
            <w:pPr>
              <w:spacing w:line="440" w:lineRule="exact"/>
              <w:jc w:val="center"/>
              <w:rPr>
                <w:color w:val="auto"/>
                <w:highlight w:val="none"/>
              </w:rPr>
            </w:pPr>
          </w:p>
        </w:tc>
        <w:tc>
          <w:tcPr>
            <w:tcW w:w="1134" w:type="dxa"/>
            <w:gridSpan w:val="2"/>
            <w:noWrap w:val="0"/>
            <w:vAlign w:val="top"/>
          </w:tcPr>
          <w:p w14:paraId="3974ED00">
            <w:pPr>
              <w:spacing w:line="440" w:lineRule="exact"/>
              <w:jc w:val="center"/>
              <w:rPr>
                <w:color w:val="auto"/>
                <w:highlight w:val="none"/>
              </w:rPr>
            </w:pPr>
          </w:p>
        </w:tc>
        <w:tc>
          <w:tcPr>
            <w:tcW w:w="775" w:type="dxa"/>
            <w:noWrap w:val="0"/>
            <w:vAlign w:val="top"/>
          </w:tcPr>
          <w:p w14:paraId="2F47C7DB">
            <w:pPr>
              <w:spacing w:line="440" w:lineRule="exact"/>
              <w:jc w:val="center"/>
              <w:rPr>
                <w:color w:val="auto"/>
                <w:highlight w:val="none"/>
              </w:rPr>
            </w:pPr>
          </w:p>
        </w:tc>
      </w:tr>
    </w:tbl>
    <w:p w14:paraId="2CF9FBBD">
      <w:pPr>
        <w:spacing w:line="440" w:lineRule="exact"/>
        <w:outlineLvl w:val="9"/>
        <w:rPr>
          <w:rFonts w:ascii="宋体" w:hAnsi="宋体"/>
          <w:b/>
          <w:bCs/>
          <w:color w:val="auto"/>
          <w:sz w:val="24"/>
          <w:szCs w:val="24"/>
          <w:highlight w:val="none"/>
        </w:rPr>
      </w:pPr>
      <w:bookmarkStart w:id="83" w:name="_Toc384308390"/>
      <w:bookmarkStart w:id="84" w:name="_Toc300835232"/>
      <w:bookmarkStart w:id="85" w:name="_Toc391394125"/>
      <w:bookmarkStart w:id="86" w:name="_Toc152045805"/>
      <w:bookmarkStart w:id="87" w:name="_Toc179632825"/>
      <w:bookmarkStart w:id="88" w:name="_Toc482188668"/>
      <w:bookmarkStart w:id="89" w:name="_Toc152042594"/>
      <w:bookmarkStart w:id="90" w:name="_Toc370676440"/>
      <w:bookmarkStart w:id="91" w:name="_Toc385943079"/>
      <w:bookmarkStart w:id="92" w:name="_Toc492300541"/>
      <w:bookmarkStart w:id="93" w:name="_Toc144974873"/>
      <w:bookmarkStart w:id="94" w:name="_Toc359594249"/>
      <w:r>
        <w:rPr>
          <w:rFonts w:hint="eastAsia" w:ascii="宋体" w:hAnsi="宋体"/>
          <w:b/>
          <w:bCs/>
          <w:color w:val="auto"/>
          <w:sz w:val="24"/>
          <w:szCs w:val="24"/>
          <w:highlight w:val="none"/>
        </w:rPr>
        <w:t>（二）主要人员简历表</w:t>
      </w:r>
      <w:bookmarkEnd w:id="83"/>
      <w:bookmarkEnd w:id="84"/>
      <w:bookmarkEnd w:id="85"/>
      <w:bookmarkEnd w:id="86"/>
      <w:bookmarkEnd w:id="87"/>
      <w:bookmarkEnd w:id="88"/>
      <w:bookmarkEnd w:id="89"/>
      <w:bookmarkEnd w:id="90"/>
      <w:bookmarkEnd w:id="91"/>
      <w:bookmarkEnd w:id="92"/>
      <w:bookmarkEnd w:id="93"/>
      <w:bookmarkEnd w:id="94"/>
    </w:p>
    <w:p w14:paraId="6EE9FD91">
      <w:pPr>
        <w:topLinePunct/>
        <w:spacing w:line="440" w:lineRule="exact"/>
        <w:jc w:val="center"/>
        <w:rPr>
          <w:color w:val="auto"/>
          <w:sz w:val="23"/>
          <w:highlight w:val="none"/>
        </w:rPr>
      </w:pPr>
      <w:r>
        <w:rPr>
          <w:rFonts w:hint="eastAsia"/>
          <w:color w:val="auto"/>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14:paraId="42BE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85" w:type="dxa"/>
            <w:noWrap w:val="0"/>
            <w:vAlign w:val="center"/>
          </w:tcPr>
          <w:p w14:paraId="724F68C4">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noWrap w:val="0"/>
            <w:vAlign w:val="center"/>
          </w:tcPr>
          <w:p w14:paraId="76BE2E67">
            <w:pPr>
              <w:spacing w:line="440" w:lineRule="exact"/>
              <w:jc w:val="center"/>
              <w:rPr>
                <w:color w:val="auto"/>
                <w:highlight w:val="none"/>
              </w:rPr>
            </w:pPr>
          </w:p>
        </w:tc>
        <w:tc>
          <w:tcPr>
            <w:tcW w:w="956" w:type="dxa"/>
            <w:noWrap w:val="0"/>
            <w:vAlign w:val="center"/>
          </w:tcPr>
          <w:p w14:paraId="7564F87A">
            <w:pPr>
              <w:spacing w:line="440" w:lineRule="exact"/>
              <w:jc w:val="center"/>
              <w:rPr>
                <w:color w:val="auto"/>
                <w:highlight w:val="none"/>
              </w:rPr>
            </w:pPr>
            <w:r>
              <w:rPr>
                <w:rFonts w:hint="eastAsia"/>
                <w:color w:val="auto"/>
                <w:highlight w:val="none"/>
              </w:rPr>
              <w:t>年龄</w:t>
            </w:r>
          </w:p>
        </w:tc>
        <w:tc>
          <w:tcPr>
            <w:tcW w:w="1064" w:type="dxa"/>
            <w:noWrap w:val="0"/>
            <w:vAlign w:val="center"/>
          </w:tcPr>
          <w:p w14:paraId="2FAF172A">
            <w:pPr>
              <w:spacing w:line="440" w:lineRule="exact"/>
              <w:jc w:val="center"/>
              <w:rPr>
                <w:color w:val="auto"/>
                <w:highlight w:val="none"/>
              </w:rPr>
            </w:pPr>
          </w:p>
        </w:tc>
        <w:tc>
          <w:tcPr>
            <w:tcW w:w="2364" w:type="dxa"/>
            <w:gridSpan w:val="3"/>
            <w:noWrap w:val="0"/>
            <w:vAlign w:val="center"/>
          </w:tcPr>
          <w:p w14:paraId="3C2D338C">
            <w:pPr>
              <w:spacing w:line="440" w:lineRule="exact"/>
              <w:jc w:val="center"/>
              <w:rPr>
                <w:color w:val="auto"/>
                <w:highlight w:val="none"/>
              </w:rPr>
            </w:pPr>
            <w:r>
              <w:rPr>
                <w:rFonts w:hint="eastAsia"/>
                <w:color w:val="auto"/>
                <w:highlight w:val="none"/>
              </w:rPr>
              <w:t>执业资格证书（或上岗证书）名称（如有要求）</w:t>
            </w:r>
          </w:p>
        </w:tc>
        <w:tc>
          <w:tcPr>
            <w:tcW w:w="1894" w:type="dxa"/>
            <w:noWrap w:val="0"/>
            <w:vAlign w:val="center"/>
          </w:tcPr>
          <w:p w14:paraId="1E9AA882">
            <w:pPr>
              <w:spacing w:line="440" w:lineRule="exact"/>
              <w:jc w:val="center"/>
              <w:rPr>
                <w:color w:val="auto"/>
                <w:highlight w:val="none"/>
              </w:rPr>
            </w:pPr>
          </w:p>
        </w:tc>
      </w:tr>
      <w:tr w14:paraId="11D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14:paraId="158ABD25">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noWrap w:val="0"/>
            <w:vAlign w:val="center"/>
          </w:tcPr>
          <w:p w14:paraId="2E046B11">
            <w:pPr>
              <w:spacing w:line="440" w:lineRule="exact"/>
              <w:jc w:val="center"/>
              <w:rPr>
                <w:color w:val="auto"/>
                <w:highlight w:val="none"/>
              </w:rPr>
            </w:pPr>
          </w:p>
        </w:tc>
        <w:tc>
          <w:tcPr>
            <w:tcW w:w="956" w:type="dxa"/>
            <w:noWrap w:val="0"/>
            <w:vAlign w:val="center"/>
          </w:tcPr>
          <w:p w14:paraId="55980AAB">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noWrap w:val="0"/>
            <w:vAlign w:val="center"/>
          </w:tcPr>
          <w:p w14:paraId="1559FD4C">
            <w:pPr>
              <w:spacing w:line="440" w:lineRule="exact"/>
              <w:jc w:val="center"/>
              <w:rPr>
                <w:color w:val="auto"/>
                <w:highlight w:val="none"/>
              </w:rPr>
            </w:pPr>
          </w:p>
        </w:tc>
        <w:tc>
          <w:tcPr>
            <w:tcW w:w="2364" w:type="dxa"/>
            <w:gridSpan w:val="3"/>
            <w:noWrap w:val="0"/>
            <w:vAlign w:val="center"/>
          </w:tcPr>
          <w:p w14:paraId="2764C505">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noWrap w:val="0"/>
            <w:vAlign w:val="center"/>
          </w:tcPr>
          <w:p w14:paraId="036EF4FC">
            <w:pPr>
              <w:spacing w:line="440" w:lineRule="exact"/>
              <w:jc w:val="center"/>
              <w:rPr>
                <w:color w:val="auto"/>
                <w:highlight w:val="none"/>
              </w:rPr>
            </w:pPr>
          </w:p>
        </w:tc>
      </w:tr>
      <w:tr w14:paraId="3250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14:paraId="53D38C51">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noWrap w:val="0"/>
            <w:vAlign w:val="center"/>
          </w:tcPr>
          <w:p w14:paraId="6A3CD482">
            <w:pPr>
              <w:spacing w:line="440" w:lineRule="exact"/>
              <w:jc w:val="center"/>
              <w:rPr>
                <w:color w:val="auto"/>
                <w:highlight w:val="none"/>
              </w:rPr>
            </w:pPr>
          </w:p>
        </w:tc>
      </w:tr>
      <w:tr w14:paraId="4249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noWrap w:val="0"/>
            <w:vAlign w:val="center"/>
          </w:tcPr>
          <w:p w14:paraId="5E8FE59C">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noWrap w:val="0"/>
            <w:vAlign w:val="center"/>
          </w:tcPr>
          <w:p w14:paraId="22077761">
            <w:pPr>
              <w:spacing w:before="100" w:beforeAutospacing="1" w:after="100" w:afterAutospacing="1" w:line="440" w:lineRule="exact"/>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6CEC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noWrap w:val="0"/>
            <w:vAlign w:val="center"/>
          </w:tcPr>
          <w:p w14:paraId="1AAF96EA">
            <w:pPr>
              <w:spacing w:before="100" w:beforeAutospacing="1" w:after="100" w:afterAutospacing="1" w:line="440" w:lineRule="exact"/>
              <w:jc w:val="left"/>
              <w:rPr>
                <w:color w:val="auto"/>
                <w:highlight w:val="none"/>
              </w:rPr>
            </w:pPr>
            <w:r>
              <w:rPr>
                <w:rFonts w:hint="eastAsia"/>
                <w:color w:val="auto"/>
                <w:highlight w:val="none"/>
              </w:rPr>
              <w:t>主要工作经历</w:t>
            </w:r>
          </w:p>
        </w:tc>
      </w:tr>
      <w:tr w14:paraId="47E4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noWrap w:val="0"/>
            <w:vAlign w:val="center"/>
          </w:tcPr>
          <w:p w14:paraId="063DDB88">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noWrap w:val="0"/>
            <w:vAlign w:val="center"/>
          </w:tcPr>
          <w:p w14:paraId="0895E359">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noWrap w:val="0"/>
            <w:vAlign w:val="center"/>
          </w:tcPr>
          <w:p w14:paraId="543418E5">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noWrap w:val="0"/>
            <w:vAlign w:val="center"/>
          </w:tcPr>
          <w:p w14:paraId="75832184">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14:paraId="3271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09949373">
            <w:pPr>
              <w:spacing w:line="440" w:lineRule="exact"/>
              <w:rPr>
                <w:color w:val="auto"/>
                <w:highlight w:val="none"/>
              </w:rPr>
            </w:pPr>
          </w:p>
        </w:tc>
        <w:tc>
          <w:tcPr>
            <w:tcW w:w="3415" w:type="dxa"/>
            <w:gridSpan w:val="4"/>
            <w:noWrap w:val="0"/>
            <w:vAlign w:val="top"/>
          </w:tcPr>
          <w:p w14:paraId="0130163D">
            <w:pPr>
              <w:spacing w:line="440" w:lineRule="exact"/>
              <w:rPr>
                <w:color w:val="auto"/>
                <w:highlight w:val="none"/>
              </w:rPr>
            </w:pPr>
          </w:p>
        </w:tc>
        <w:tc>
          <w:tcPr>
            <w:tcW w:w="1259" w:type="dxa"/>
            <w:noWrap w:val="0"/>
            <w:vAlign w:val="top"/>
          </w:tcPr>
          <w:p w14:paraId="5CDC6723">
            <w:pPr>
              <w:spacing w:line="440" w:lineRule="exact"/>
              <w:rPr>
                <w:color w:val="auto"/>
                <w:highlight w:val="none"/>
              </w:rPr>
            </w:pPr>
          </w:p>
        </w:tc>
        <w:tc>
          <w:tcPr>
            <w:tcW w:w="2294" w:type="dxa"/>
            <w:gridSpan w:val="2"/>
            <w:noWrap w:val="0"/>
            <w:vAlign w:val="top"/>
          </w:tcPr>
          <w:p w14:paraId="25EA23C0">
            <w:pPr>
              <w:spacing w:line="440" w:lineRule="exact"/>
              <w:rPr>
                <w:color w:val="auto"/>
                <w:highlight w:val="none"/>
              </w:rPr>
            </w:pPr>
          </w:p>
        </w:tc>
      </w:tr>
      <w:tr w14:paraId="5DE2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5F65DEFD">
            <w:pPr>
              <w:spacing w:line="440" w:lineRule="exact"/>
              <w:rPr>
                <w:color w:val="auto"/>
                <w:highlight w:val="none"/>
              </w:rPr>
            </w:pPr>
          </w:p>
        </w:tc>
        <w:tc>
          <w:tcPr>
            <w:tcW w:w="3415" w:type="dxa"/>
            <w:gridSpan w:val="4"/>
            <w:noWrap w:val="0"/>
            <w:vAlign w:val="top"/>
          </w:tcPr>
          <w:p w14:paraId="1B31E979">
            <w:pPr>
              <w:spacing w:line="440" w:lineRule="exact"/>
              <w:rPr>
                <w:color w:val="auto"/>
                <w:highlight w:val="none"/>
              </w:rPr>
            </w:pPr>
          </w:p>
        </w:tc>
        <w:tc>
          <w:tcPr>
            <w:tcW w:w="1259" w:type="dxa"/>
            <w:noWrap w:val="0"/>
            <w:vAlign w:val="top"/>
          </w:tcPr>
          <w:p w14:paraId="0E0800AE">
            <w:pPr>
              <w:spacing w:line="440" w:lineRule="exact"/>
              <w:rPr>
                <w:color w:val="auto"/>
                <w:highlight w:val="none"/>
              </w:rPr>
            </w:pPr>
          </w:p>
        </w:tc>
        <w:tc>
          <w:tcPr>
            <w:tcW w:w="2294" w:type="dxa"/>
            <w:gridSpan w:val="2"/>
            <w:noWrap w:val="0"/>
            <w:vAlign w:val="top"/>
          </w:tcPr>
          <w:p w14:paraId="7193A7D8">
            <w:pPr>
              <w:spacing w:line="440" w:lineRule="exact"/>
              <w:rPr>
                <w:color w:val="auto"/>
                <w:highlight w:val="none"/>
              </w:rPr>
            </w:pPr>
          </w:p>
        </w:tc>
      </w:tr>
      <w:tr w14:paraId="2FB8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71AAB596">
            <w:pPr>
              <w:spacing w:line="440" w:lineRule="exact"/>
              <w:rPr>
                <w:color w:val="auto"/>
                <w:highlight w:val="none"/>
              </w:rPr>
            </w:pPr>
          </w:p>
        </w:tc>
        <w:tc>
          <w:tcPr>
            <w:tcW w:w="3415" w:type="dxa"/>
            <w:gridSpan w:val="4"/>
            <w:noWrap w:val="0"/>
            <w:vAlign w:val="top"/>
          </w:tcPr>
          <w:p w14:paraId="67B77ABA">
            <w:pPr>
              <w:spacing w:line="440" w:lineRule="exact"/>
              <w:rPr>
                <w:color w:val="auto"/>
                <w:highlight w:val="none"/>
              </w:rPr>
            </w:pPr>
          </w:p>
        </w:tc>
        <w:tc>
          <w:tcPr>
            <w:tcW w:w="1259" w:type="dxa"/>
            <w:noWrap w:val="0"/>
            <w:vAlign w:val="top"/>
          </w:tcPr>
          <w:p w14:paraId="714A330E">
            <w:pPr>
              <w:spacing w:line="440" w:lineRule="exact"/>
              <w:rPr>
                <w:color w:val="auto"/>
                <w:highlight w:val="none"/>
              </w:rPr>
            </w:pPr>
          </w:p>
        </w:tc>
        <w:tc>
          <w:tcPr>
            <w:tcW w:w="2294" w:type="dxa"/>
            <w:gridSpan w:val="2"/>
            <w:noWrap w:val="0"/>
            <w:vAlign w:val="top"/>
          </w:tcPr>
          <w:p w14:paraId="3FD2FAAF">
            <w:pPr>
              <w:spacing w:line="440" w:lineRule="exact"/>
              <w:rPr>
                <w:color w:val="auto"/>
                <w:highlight w:val="none"/>
              </w:rPr>
            </w:pPr>
          </w:p>
        </w:tc>
      </w:tr>
    </w:tbl>
    <w:p w14:paraId="33488B1B">
      <w:pPr>
        <w:spacing w:line="440" w:lineRule="exact"/>
        <w:rPr>
          <w:rFonts w:hint="eastAsia" w:ascii="宋体" w:hAnsi="宋体"/>
          <w:color w:val="auto"/>
          <w:sz w:val="28"/>
          <w:highlight w:val="none"/>
        </w:rPr>
      </w:pPr>
      <w:r>
        <w:rPr>
          <w:b/>
          <w:color w:val="auto"/>
          <w:highlight w:val="none"/>
        </w:rPr>
        <w:t>注：投标人应根据</w:t>
      </w:r>
      <w:r>
        <w:rPr>
          <w:rFonts w:hint="eastAsia"/>
          <w:b/>
          <w:color w:val="auto"/>
          <w:highlight w:val="none"/>
          <w:lang w:eastAsia="zh-CN"/>
        </w:rPr>
        <w:t>磋商文件</w:t>
      </w:r>
      <w:r>
        <w:rPr>
          <w:b/>
          <w:color w:val="auto"/>
          <w:highlight w:val="none"/>
        </w:rPr>
        <w:t>的要求在本表后附相关证明材料</w:t>
      </w:r>
      <w:r>
        <w:rPr>
          <w:rFonts w:hint="eastAsia"/>
          <w:b/>
          <w:color w:val="auto"/>
          <w:highlight w:val="none"/>
          <w:lang w:val="en-US" w:eastAsia="zh-CN"/>
        </w:rPr>
        <w:t>及人员社保证明</w:t>
      </w:r>
      <w:r>
        <w:rPr>
          <w:b/>
          <w:color w:val="auto"/>
          <w:highlight w:val="none"/>
        </w:rPr>
        <w:t>。</w:t>
      </w:r>
    </w:p>
    <w:bookmarkEnd w:id="71"/>
    <w:bookmarkEnd w:id="72"/>
    <w:bookmarkEnd w:id="76"/>
    <w:bookmarkEnd w:id="77"/>
    <w:bookmarkEnd w:id="78"/>
    <w:p w14:paraId="0B1C8373">
      <w:pPr>
        <w:numPr>
          <w:ilvl w:val="0"/>
          <w:numId w:val="0"/>
        </w:numPr>
        <w:jc w:val="center"/>
        <w:outlineLvl w:val="9"/>
        <w:rPr>
          <w:rFonts w:hint="eastAsia" w:ascii="宋体" w:hAnsi="宋体" w:eastAsia="宋体" w:cs="宋体"/>
          <w:b/>
          <w:bCs/>
          <w:spacing w:val="-2"/>
          <w:sz w:val="24"/>
          <w:szCs w:val="24"/>
          <w:lang w:val="en-US" w:eastAsia="zh-CN"/>
        </w:rPr>
      </w:pPr>
    </w:p>
    <w:p w14:paraId="20D89DD2">
      <w:pPr>
        <w:rPr>
          <w:rFonts w:hint="eastAsia" w:ascii="宋体" w:hAnsi="宋体" w:eastAsia="宋体" w:cs="宋体"/>
          <w:b/>
          <w:bCs/>
          <w:spacing w:val="-2"/>
          <w:sz w:val="24"/>
          <w:szCs w:val="24"/>
          <w:lang w:val="en-US" w:eastAsia="zh-CN"/>
        </w:rPr>
      </w:pPr>
      <w:bookmarkStart w:id="95" w:name="_Toc10474"/>
      <w:r>
        <w:rPr>
          <w:rFonts w:hint="eastAsia" w:ascii="宋体" w:hAnsi="宋体" w:eastAsia="宋体" w:cs="宋体"/>
          <w:b/>
          <w:bCs/>
          <w:spacing w:val="-2"/>
          <w:sz w:val="24"/>
          <w:szCs w:val="24"/>
          <w:lang w:val="en-US" w:eastAsia="zh-CN"/>
        </w:rPr>
        <w:br w:type="page"/>
      </w:r>
    </w:p>
    <w:p w14:paraId="20CBC56D">
      <w:pPr>
        <w:numPr>
          <w:ilvl w:val="0"/>
          <w:numId w:val="0"/>
        </w:numPr>
        <w:jc w:val="center"/>
        <w:outlineLvl w:val="1"/>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九、后期服务方案</w:t>
      </w:r>
      <w:bookmarkEnd w:id="95"/>
    </w:p>
    <w:p w14:paraId="62986943">
      <w:pPr>
        <w:spacing w:before="48" w:beforeLines="20" w:after="48" w:afterLines="20" w:line="360" w:lineRule="auto"/>
        <w:jc w:val="center"/>
        <w:rPr>
          <w:rFonts w:hint="eastAsia" w:ascii="宋体" w:hAnsi="宋体"/>
          <w:color w:val="auto"/>
          <w:sz w:val="28"/>
          <w:highlight w:val="none"/>
        </w:rPr>
      </w:pPr>
      <w:r>
        <w:rPr>
          <w:rFonts w:hint="eastAsia" w:ascii="宋体" w:hAnsi="宋体"/>
          <w:bCs/>
          <w:color w:val="auto"/>
          <w:sz w:val="24"/>
          <w:szCs w:val="24"/>
          <w:highlight w:val="none"/>
        </w:rPr>
        <w:t>（投标人可自行制作格式）</w:t>
      </w:r>
    </w:p>
    <w:p w14:paraId="0B0065D9">
      <w:pPr>
        <w:rPr>
          <w:rFonts w:hint="eastAsia"/>
          <w:lang w:val="en-US" w:eastAsia="zh-CN"/>
        </w:rPr>
      </w:pPr>
    </w:p>
    <w:p w14:paraId="1C2E524F">
      <w:pPr>
        <w:outlineLvl w:val="9"/>
        <w:rPr>
          <w:rFonts w:hint="eastAsia"/>
          <w:lang w:val="en-US" w:eastAsia="zh-CN"/>
        </w:rPr>
      </w:pPr>
    </w:p>
    <w:p w14:paraId="2A43EA2E">
      <w:pPr>
        <w:keepNext/>
        <w:keepLines/>
        <w:spacing w:before="120" w:after="120" w:line="360" w:lineRule="auto"/>
        <w:jc w:val="center"/>
        <w:outlineLvl w:val="9"/>
        <w:rPr>
          <w:rFonts w:hint="eastAsia" w:ascii="黑体" w:hAnsi="黑体" w:eastAsia="黑体"/>
          <w:bCs/>
          <w:highlight w:val="none"/>
        </w:rPr>
      </w:pPr>
    </w:p>
    <w:p w14:paraId="2C56045A">
      <w:pPr>
        <w:keepNext/>
        <w:keepLines/>
        <w:spacing w:before="120" w:after="120" w:line="360" w:lineRule="auto"/>
        <w:jc w:val="center"/>
        <w:outlineLvl w:val="9"/>
        <w:rPr>
          <w:rFonts w:hint="eastAsia" w:ascii="黑体" w:hAnsi="黑体" w:eastAsia="黑体"/>
          <w:bCs/>
          <w:highlight w:val="none"/>
        </w:rPr>
      </w:pPr>
    </w:p>
    <w:p w14:paraId="1C0DE4EF">
      <w:pPr>
        <w:rPr>
          <w:rFonts w:hint="eastAsia" w:ascii="宋体" w:hAnsi="宋体" w:eastAsia="宋体" w:cs="宋体"/>
          <w:b/>
          <w:bCs/>
          <w:spacing w:val="-2"/>
          <w:sz w:val="24"/>
          <w:szCs w:val="24"/>
          <w:lang w:val="en-US" w:eastAsia="zh-CN"/>
        </w:rPr>
      </w:pPr>
      <w:bookmarkStart w:id="96" w:name="_Toc4500"/>
      <w:r>
        <w:rPr>
          <w:rFonts w:hint="eastAsia" w:ascii="宋体" w:hAnsi="宋体" w:eastAsia="宋体" w:cs="宋体"/>
          <w:b/>
          <w:bCs/>
          <w:spacing w:val="-2"/>
          <w:sz w:val="24"/>
          <w:szCs w:val="24"/>
          <w:lang w:val="en-US" w:eastAsia="zh-CN"/>
        </w:rPr>
        <w:br w:type="page"/>
      </w:r>
    </w:p>
    <w:p w14:paraId="16696DBB">
      <w:pPr>
        <w:numPr>
          <w:ilvl w:val="0"/>
          <w:numId w:val="0"/>
        </w:numPr>
        <w:jc w:val="center"/>
        <w:outlineLvl w:val="1"/>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十、</w:t>
      </w:r>
      <w:r>
        <w:rPr>
          <w:rFonts w:hint="eastAsia" w:ascii="宋体" w:hAnsi="宋体" w:cs="宋体"/>
          <w:b/>
          <w:bCs/>
          <w:spacing w:val="-2"/>
          <w:sz w:val="24"/>
          <w:szCs w:val="24"/>
          <w:lang w:val="en-US" w:eastAsia="zh-CN"/>
        </w:rPr>
        <w:t>营业执照</w:t>
      </w:r>
      <w:bookmarkEnd w:id="96"/>
    </w:p>
    <w:p w14:paraId="69CFB747">
      <w:pPr>
        <w:keepNext/>
        <w:keepLines/>
        <w:spacing w:before="120" w:after="120" w:line="360" w:lineRule="auto"/>
        <w:jc w:val="center"/>
        <w:outlineLvl w:val="9"/>
        <w:rPr>
          <w:rFonts w:hint="eastAsia" w:ascii="黑体" w:hAnsi="黑体" w:eastAsia="黑体"/>
          <w:bCs/>
          <w:highlight w:val="none"/>
        </w:rPr>
      </w:pPr>
    </w:p>
    <w:p w14:paraId="6FCA2BE1">
      <w:pPr>
        <w:pStyle w:val="5"/>
        <w:rPr>
          <w:rFonts w:hint="eastAsia" w:ascii="黑体" w:hAnsi="黑体" w:eastAsia="黑体"/>
          <w:bCs/>
          <w:highlight w:val="none"/>
        </w:rPr>
      </w:pPr>
    </w:p>
    <w:p w14:paraId="232E4B8A">
      <w:pPr>
        <w:rPr>
          <w:rFonts w:hint="eastAsia" w:ascii="黑体" w:hAnsi="黑体" w:eastAsia="黑体"/>
          <w:bCs/>
          <w:highlight w:val="none"/>
        </w:rPr>
      </w:pPr>
    </w:p>
    <w:p w14:paraId="2039C4CB">
      <w:pPr>
        <w:pStyle w:val="5"/>
        <w:rPr>
          <w:rFonts w:hint="eastAsia"/>
        </w:rPr>
      </w:pPr>
    </w:p>
    <w:p w14:paraId="037C2E5F">
      <w:pPr>
        <w:numPr>
          <w:ilvl w:val="0"/>
          <w:numId w:val="0"/>
        </w:numPr>
        <w:jc w:val="center"/>
        <w:outlineLvl w:val="1"/>
        <w:rPr>
          <w:rFonts w:hint="eastAsia" w:ascii="宋体" w:hAnsi="宋体" w:eastAsia="宋体" w:cs="宋体"/>
          <w:b/>
          <w:bCs/>
          <w:spacing w:val="-2"/>
          <w:sz w:val="24"/>
          <w:szCs w:val="24"/>
          <w:lang w:val="en-US" w:eastAsia="zh-CN"/>
        </w:rPr>
      </w:pPr>
      <w:bookmarkStart w:id="97" w:name="_Toc14666"/>
    </w:p>
    <w:p w14:paraId="411893A9">
      <w:pPr>
        <w:numPr>
          <w:ilvl w:val="0"/>
          <w:numId w:val="0"/>
        </w:numPr>
        <w:jc w:val="center"/>
        <w:outlineLvl w:val="1"/>
        <w:rPr>
          <w:rFonts w:hint="eastAsia" w:ascii="宋体" w:hAnsi="宋体" w:eastAsia="宋体" w:cs="宋体"/>
          <w:b/>
          <w:bCs/>
          <w:spacing w:val="-2"/>
          <w:sz w:val="24"/>
          <w:szCs w:val="24"/>
          <w:lang w:val="en-US" w:eastAsia="zh-CN"/>
        </w:rPr>
      </w:pPr>
    </w:p>
    <w:p w14:paraId="3C484DFE">
      <w:pPr>
        <w:numPr>
          <w:ilvl w:val="0"/>
          <w:numId w:val="0"/>
        </w:numPr>
        <w:jc w:val="center"/>
        <w:outlineLvl w:val="1"/>
        <w:rPr>
          <w:rFonts w:hint="eastAsia" w:ascii="宋体" w:hAnsi="宋体" w:eastAsia="宋体" w:cs="宋体"/>
          <w:b/>
          <w:bCs/>
          <w:spacing w:val="-2"/>
          <w:sz w:val="24"/>
          <w:szCs w:val="24"/>
          <w:lang w:val="en-US" w:eastAsia="zh-CN"/>
        </w:rPr>
      </w:pPr>
    </w:p>
    <w:p w14:paraId="25855725">
      <w:pPr>
        <w:numPr>
          <w:ilvl w:val="0"/>
          <w:numId w:val="0"/>
        </w:numPr>
        <w:jc w:val="center"/>
        <w:outlineLvl w:val="1"/>
        <w:rPr>
          <w:rFonts w:hint="eastAsia" w:ascii="宋体" w:hAnsi="宋体" w:eastAsia="宋体" w:cs="宋体"/>
          <w:b/>
          <w:bCs/>
          <w:spacing w:val="-2"/>
          <w:sz w:val="24"/>
          <w:szCs w:val="24"/>
          <w:lang w:val="en-US" w:eastAsia="zh-CN"/>
        </w:rPr>
      </w:pPr>
    </w:p>
    <w:p w14:paraId="42C27CE7">
      <w:pPr>
        <w:numPr>
          <w:ilvl w:val="0"/>
          <w:numId w:val="0"/>
        </w:numPr>
        <w:jc w:val="center"/>
        <w:outlineLvl w:val="1"/>
        <w:rPr>
          <w:rFonts w:hint="eastAsia" w:ascii="宋体" w:hAnsi="宋体" w:eastAsia="宋体" w:cs="宋体"/>
          <w:b/>
          <w:bCs/>
          <w:spacing w:val="-2"/>
          <w:sz w:val="24"/>
          <w:szCs w:val="24"/>
          <w:lang w:val="en-US" w:eastAsia="zh-CN"/>
        </w:rPr>
      </w:pPr>
    </w:p>
    <w:p w14:paraId="41DB2E15">
      <w:pPr>
        <w:numPr>
          <w:ilvl w:val="0"/>
          <w:numId w:val="0"/>
        </w:numPr>
        <w:jc w:val="center"/>
        <w:outlineLvl w:val="1"/>
        <w:rPr>
          <w:rFonts w:hint="eastAsia" w:ascii="宋体" w:hAnsi="宋体" w:eastAsia="宋体" w:cs="宋体"/>
          <w:b/>
          <w:bCs/>
          <w:spacing w:val="-2"/>
          <w:sz w:val="24"/>
          <w:szCs w:val="24"/>
          <w:lang w:val="en-US" w:eastAsia="zh-CN"/>
        </w:rPr>
      </w:pPr>
    </w:p>
    <w:p w14:paraId="1CE8D577">
      <w:pPr>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br w:type="page"/>
      </w:r>
    </w:p>
    <w:p w14:paraId="076600CF">
      <w:pPr>
        <w:numPr>
          <w:ilvl w:val="0"/>
          <w:numId w:val="0"/>
        </w:numPr>
        <w:jc w:val="center"/>
        <w:outlineLvl w:val="1"/>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十</w:t>
      </w:r>
      <w:r>
        <w:rPr>
          <w:rFonts w:hint="eastAsia" w:ascii="宋体" w:hAnsi="宋体" w:cs="宋体"/>
          <w:b/>
          <w:bCs/>
          <w:spacing w:val="-2"/>
          <w:sz w:val="24"/>
          <w:szCs w:val="24"/>
          <w:lang w:val="en-US" w:eastAsia="zh-CN"/>
        </w:rPr>
        <w:t>一</w:t>
      </w:r>
      <w:r>
        <w:rPr>
          <w:rFonts w:hint="eastAsia" w:ascii="宋体" w:hAnsi="宋体" w:eastAsia="宋体" w:cs="宋体"/>
          <w:b/>
          <w:bCs/>
          <w:spacing w:val="-2"/>
          <w:sz w:val="24"/>
          <w:szCs w:val="24"/>
          <w:lang w:val="en-US" w:eastAsia="zh-CN"/>
        </w:rPr>
        <w:t>、其他资料</w:t>
      </w:r>
      <w:bookmarkEnd w:id="97"/>
    </w:p>
    <w:p w14:paraId="0C5E7132">
      <w:pPr>
        <w:autoSpaceDE w:val="0"/>
        <w:autoSpaceDN w:val="0"/>
        <w:adjustRightInd w:val="0"/>
        <w:snapToGrid w:val="0"/>
        <w:spacing w:line="360" w:lineRule="auto"/>
        <w:jc w:val="left"/>
        <w:rPr>
          <w:rFonts w:hint="eastAsia" w:hAnsi="宋体"/>
          <w:snapToGrid w:val="0"/>
          <w:sz w:val="20"/>
          <w:szCs w:val="22"/>
          <w:highlight w:val="none"/>
        </w:rPr>
      </w:pPr>
    </w:p>
    <w:p w14:paraId="6FF67037">
      <w:pPr>
        <w:tabs>
          <w:tab w:val="left" w:pos="5760"/>
        </w:tabs>
        <w:autoSpaceDE w:val="0"/>
        <w:autoSpaceDN w:val="0"/>
        <w:adjustRightInd w:val="0"/>
        <w:spacing w:line="300" w:lineRule="exact"/>
        <w:ind w:right="11" w:firstLine="420" w:firstLineChars="200"/>
        <w:rPr>
          <w:rFonts w:hint="eastAsia" w:hAnsi="宋体"/>
          <w:szCs w:val="22"/>
          <w:highlight w:val="none"/>
        </w:rPr>
      </w:pPr>
      <w:r>
        <w:rPr>
          <w:rFonts w:hint="eastAsia" w:hAnsi="宋体"/>
          <w:szCs w:val="22"/>
          <w:highlight w:val="none"/>
        </w:rPr>
        <w:t>投标人对照评</w:t>
      </w:r>
      <w:r>
        <w:rPr>
          <w:rFonts w:hint="eastAsia" w:hAnsi="宋体"/>
          <w:szCs w:val="22"/>
          <w:highlight w:val="none"/>
          <w:lang w:eastAsia="zh-CN"/>
        </w:rPr>
        <w:t>审</w:t>
      </w:r>
      <w:r>
        <w:rPr>
          <w:rFonts w:hint="eastAsia" w:hAnsi="宋体"/>
          <w:szCs w:val="22"/>
          <w:highlight w:val="none"/>
        </w:rPr>
        <w:t>办法要求，自行提供其他相关资料（如</w:t>
      </w:r>
      <w:r>
        <w:rPr>
          <w:rFonts w:hint="eastAsia" w:hAnsi="宋体"/>
          <w:szCs w:val="22"/>
          <w:highlight w:val="none"/>
          <w:lang w:val="en-US" w:eastAsia="zh-CN"/>
        </w:rPr>
        <w:t>营业执照等</w:t>
      </w:r>
      <w:r>
        <w:rPr>
          <w:rFonts w:hint="eastAsia" w:hAnsi="宋体"/>
          <w:szCs w:val="22"/>
          <w:highlight w:val="none"/>
        </w:rPr>
        <w:t>）</w:t>
      </w:r>
    </w:p>
    <w:p w14:paraId="1A8FD667">
      <w:pPr>
        <w:tabs>
          <w:tab w:val="left" w:pos="5760"/>
        </w:tabs>
        <w:autoSpaceDE w:val="0"/>
        <w:autoSpaceDN w:val="0"/>
        <w:adjustRightInd w:val="0"/>
        <w:spacing w:line="300" w:lineRule="exact"/>
        <w:ind w:right="11"/>
        <w:rPr>
          <w:rFonts w:hAnsi="宋体"/>
          <w:szCs w:val="22"/>
          <w:highlight w:val="none"/>
        </w:rPr>
      </w:pPr>
    </w:p>
    <w:p w14:paraId="75E8D326">
      <w:pPr>
        <w:spacing w:line="510" w:lineRule="exact"/>
        <w:jc w:val="left"/>
        <w:rPr>
          <w:rFonts w:hint="eastAsia" w:eastAsia="宋体"/>
          <w:highlight w:val="none"/>
          <w:lang w:eastAsia="zh-CN"/>
        </w:rPr>
      </w:pPr>
      <w:r>
        <w:rPr>
          <w:rFonts w:hint="eastAsia" w:hAnsi="宋体"/>
          <w:szCs w:val="22"/>
          <w:highlight w:val="none"/>
        </w:rPr>
        <w:t>注：对照评</w:t>
      </w:r>
      <w:r>
        <w:rPr>
          <w:rFonts w:hint="eastAsia" w:hAnsi="宋体"/>
          <w:szCs w:val="22"/>
          <w:highlight w:val="none"/>
          <w:lang w:eastAsia="zh-CN"/>
        </w:rPr>
        <w:t>审</w:t>
      </w:r>
      <w:r>
        <w:rPr>
          <w:rFonts w:hint="eastAsia" w:hAnsi="宋体"/>
          <w:szCs w:val="22"/>
          <w:highlight w:val="none"/>
        </w:rPr>
        <w:t>办法要求，由投标人自行提供相关证明或资料。如证明或声明或资料与实际不符，将被取消投标或中标资格</w:t>
      </w:r>
      <w:r>
        <w:rPr>
          <w:rFonts w:hint="eastAsia" w:hAnsi="宋体"/>
          <w:szCs w:val="22"/>
          <w:highlight w:val="none"/>
          <w:lang w:eastAsia="zh-CN"/>
        </w:rPr>
        <w:t>。</w:t>
      </w:r>
    </w:p>
    <w:p w14:paraId="2802341D"/>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PMingLiU">
    <w:altName w:val="Sitka Text"/>
    <w:panose1 w:val="02020500000000000000"/>
    <w:charset w:val="00"/>
    <w:family w:val="auto"/>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7AE9">
    <w:pPr>
      <w:pStyle w:val="13"/>
      <w:framePr w:wrap="around" w:vAnchor="text" w:hAnchor="margin" w:xAlign="center" w:y="1"/>
      <w:rPr>
        <w:rStyle w:val="26"/>
        <w:rFonts w:ascii="仿宋_GB2312" w:eastAsia="仿宋_GB2312"/>
        <w:sz w:val="21"/>
        <w:szCs w:val="21"/>
      </w:rPr>
    </w:pPr>
    <w:r>
      <w:rPr>
        <w:rFonts w:hint="eastAsia" w:ascii="仿宋_GB2312" w:eastAsia="仿宋_GB2312"/>
        <w:sz w:val="21"/>
        <w:szCs w:val="21"/>
      </w:rPr>
      <w:fldChar w:fldCharType="begin"/>
    </w:r>
    <w:r>
      <w:rPr>
        <w:rStyle w:val="26"/>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26"/>
        <w:rFonts w:ascii="仿宋_GB2312" w:eastAsia="仿宋_GB2312"/>
        <w:sz w:val="21"/>
        <w:szCs w:val="21"/>
      </w:rPr>
      <w:t>7</w:t>
    </w:r>
    <w:r>
      <w:rPr>
        <w:rFonts w:hint="eastAsia" w:ascii="仿宋_GB2312" w:eastAsia="仿宋_GB2312"/>
        <w:sz w:val="21"/>
        <w:szCs w:val="21"/>
      </w:rPr>
      <w:fldChar w:fldCharType="end"/>
    </w:r>
  </w:p>
  <w:p w14:paraId="1256F046">
    <w:pPr>
      <w:pStyle w:val="13"/>
    </w:pPr>
  </w:p>
  <w:p w14:paraId="6BA473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33F7">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CDFEAB2">
    <w:pPr>
      <w:pStyle w:val="13"/>
    </w:pPr>
  </w:p>
  <w:p w14:paraId="316F74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F107">
    <w:pPr>
      <w:pStyle w:val="13"/>
      <w:framePr w:wrap="around" w:vAnchor="text" w:hAnchor="margin" w:xAlign="center" w:y="1"/>
      <w:rPr>
        <w:rStyle w:val="26"/>
        <w:rFonts w:hint="eastAsia" w:ascii="仿宋_GB2312" w:eastAsia="仿宋_GB2312"/>
        <w:sz w:val="21"/>
        <w:szCs w:val="21"/>
      </w:rPr>
    </w:pPr>
    <w:r>
      <w:rPr>
        <w:rFonts w:hint="eastAsia" w:ascii="仿宋_GB2312" w:eastAsia="仿宋_GB2312"/>
        <w:sz w:val="21"/>
        <w:szCs w:val="21"/>
      </w:rPr>
      <w:fldChar w:fldCharType="begin"/>
    </w:r>
    <w:r>
      <w:rPr>
        <w:rStyle w:val="26"/>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26"/>
        <w:rFonts w:ascii="仿宋_GB2312" w:eastAsia="仿宋_GB2312"/>
        <w:sz w:val="21"/>
        <w:szCs w:val="21"/>
      </w:rPr>
      <w:t>14</w:t>
    </w:r>
    <w:r>
      <w:rPr>
        <w:rFonts w:hint="eastAsia" w:ascii="仿宋_GB2312" w:eastAsia="仿宋_GB2312"/>
        <w:sz w:val="21"/>
        <w:szCs w:val="21"/>
      </w:rPr>
      <w:fldChar w:fldCharType="end"/>
    </w:r>
  </w:p>
  <w:p w14:paraId="75EE5FFB">
    <w:pPr>
      <w:pStyle w:val="13"/>
      <w:rPr>
        <w:rFonts w:hint="eastAsia"/>
      </w:rPr>
    </w:pPr>
  </w:p>
  <w:p w14:paraId="373933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AFDC">
    <w:pPr>
      <w:pStyle w:val="1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9F33">
    <w:pPr>
      <w:pStyle w:val="13"/>
      <w:framePr w:wrap="around" w:vAnchor="text" w:hAnchor="margin" w:xAlign="center" w:y="1"/>
      <w:rPr>
        <w:rStyle w:val="26"/>
      </w:rPr>
    </w:pPr>
    <w:r>
      <w:fldChar w:fldCharType="begin"/>
    </w:r>
    <w:r>
      <w:rPr>
        <w:rStyle w:val="26"/>
      </w:rPr>
      <w:instrText xml:space="preserve">PAGE  </w:instrText>
    </w:r>
    <w:r>
      <w:fldChar w:fldCharType="separate"/>
    </w:r>
    <w:r>
      <w:fldChar w:fldCharType="end"/>
    </w:r>
  </w:p>
  <w:p w14:paraId="2A4FBDF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64F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CB376">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4CB37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C31D">
    <w:pPr>
      <w:pStyle w:val="1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8FE7">
    <w:pPr>
      <w:pStyle w:val="15"/>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2C532"/>
    <w:multiLevelType w:val="singleLevel"/>
    <w:tmpl w:val="A2E2C532"/>
    <w:lvl w:ilvl="0" w:tentative="0">
      <w:start w:val="2"/>
      <w:numFmt w:val="chineseCounting"/>
      <w:suff w:val="nothing"/>
      <w:lvlText w:val="%1、"/>
      <w:lvlJc w:val="left"/>
      <w:pPr>
        <w:ind w:left="240"/>
      </w:pPr>
      <w:rPr>
        <w:rFonts w:hint="eastAsia"/>
      </w:rPr>
    </w:lvl>
  </w:abstractNum>
  <w:abstractNum w:abstractNumId="1">
    <w:nsid w:val="F81007B8"/>
    <w:multiLevelType w:val="singleLevel"/>
    <w:tmpl w:val="F81007B8"/>
    <w:lvl w:ilvl="0" w:tentative="0">
      <w:start w:val="2"/>
      <w:numFmt w:val="chineseCounting"/>
      <w:suff w:val="nothing"/>
      <w:lvlText w:val="%1、"/>
      <w:lvlJc w:val="left"/>
      <w:rPr>
        <w:rFonts w:hint="eastAsia"/>
      </w:rPr>
    </w:lvl>
  </w:abstractNum>
  <w:abstractNum w:abstractNumId="2">
    <w:nsid w:val="0D7D1CC5"/>
    <w:multiLevelType w:val="multilevel"/>
    <w:tmpl w:val="0D7D1CC5"/>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9E3FD4"/>
    <w:multiLevelType w:val="multilevel"/>
    <w:tmpl w:val="109E3FD4"/>
    <w:lvl w:ilvl="0" w:tentative="0">
      <w:start w:val="1"/>
      <w:numFmt w:val="none"/>
      <w:lvlText w:val="一、"/>
      <w:lvlJc w:val="left"/>
      <w:pPr>
        <w:ind w:left="750"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4AF497A"/>
    <w:multiLevelType w:val="singleLevel"/>
    <w:tmpl w:val="14AF497A"/>
    <w:lvl w:ilvl="0" w:tentative="0">
      <w:start w:val="1"/>
      <w:numFmt w:val="chineseCounting"/>
      <w:suff w:val="space"/>
      <w:lvlText w:val="第%1章"/>
      <w:lvlJc w:val="left"/>
      <w:rPr>
        <w:rFonts w:hint="eastAsia"/>
      </w:rPr>
    </w:lvl>
  </w:abstractNum>
  <w:abstractNum w:abstractNumId="5">
    <w:nsid w:val="2C503B76"/>
    <w:multiLevelType w:val="multilevel"/>
    <w:tmpl w:val="2C503B76"/>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2E11E16"/>
    <w:multiLevelType w:val="singleLevel"/>
    <w:tmpl w:val="32E11E16"/>
    <w:lvl w:ilvl="0" w:tentative="0">
      <w:start w:val="6"/>
      <w:numFmt w:val="chineseCounting"/>
      <w:suff w:val="nothing"/>
      <w:lvlText w:val="%1、"/>
      <w:lvlJc w:val="left"/>
      <w:rPr>
        <w:rFonts w:hint="eastAsia"/>
      </w:rPr>
    </w:lvl>
  </w:abstractNum>
  <w:abstractNum w:abstractNumId="7">
    <w:nsid w:val="45A17871"/>
    <w:multiLevelType w:val="multilevel"/>
    <w:tmpl w:val="45A17871"/>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59552B"/>
    <w:multiLevelType w:val="multilevel"/>
    <w:tmpl w:val="4B59552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4797ACF"/>
    <w:multiLevelType w:val="multilevel"/>
    <w:tmpl w:val="54797ACF"/>
    <w:lvl w:ilvl="0" w:tentative="0">
      <w:start w:val="1"/>
      <w:numFmt w:val="decimal"/>
      <w:lvlText w:val="（%1）"/>
      <w:lvlJc w:val="left"/>
      <w:pPr>
        <w:tabs>
          <w:tab w:val="left" w:pos="720"/>
        </w:tabs>
        <w:ind w:left="720" w:hanging="720"/>
      </w:pPr>
      <w:rPr>
        <w:rFonts w:hint="eastAsia"/>
      </w:rPr>
    </w:lvl>
    <w:lvl w:ilvl="1" w:tentative="0">
      <w:start w:val="1"/>
      <w:numFmt w:val="decimalFullWidth"/>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5F0626"/>
    <w:multiLevelType w:val="multilevel"/>
    <w:tmpl w:val="585F0626"/>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8062B9"/>
    <w:multiLevelType w:val="multilevel"/>
    <w:tmpl w:val="678062B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55F52D"/>
    <w:multiLevelType w:val="singleLevel"/>
    <w:tmpl w:val="7A55F52D"/>
    <w:lvl w:ilvl="0" w:tentative="0">
      <w:start w:val="1"/>
      <w:numFmt w:val="decimal"/>
      <w:suff w:val="nothing"/>
      <w:lvlText w:val="（%1）"/>
      <w:lvlJc w:val="left"/>
    </w:lvl>
  </w:abstractNum>
  <w:abstractNum w:abstractNumId="13">
    <w:nsid w:val="7B4F5D9B"/>
    <w:multiLevelType w:val="singleLevel"/>
    <w:tmpl w:val="7B4F5D9B"/>
    <w:lvl w:ilvl="0" w:tentative="0">
      <w:start w:val="5"/>
      <w:numFmt w:val="chineseCounting"/>
      <w:suff w:val="space"/>
      <w:lvlText w:val="第%1章"/>
      <w:lvlJc w:val="left"/>
      <w:rPr>
        <w:rFonts w:hint="eastAsia"/>
      </w:rPr>
    </w:lvl>
  </w:abstractNum>
  <w:abstractNum w:abstractNumId="14">
    <w:nsid w:val="7B9C59E2"/>
    <w:multiLevelType w:val="multilevel"/>
    <w:tmpl w:val="7B9C59E2"/>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2"/>
  </w:num>
  <w:num w:numId="8">
    <w:abstractNumId w:val="14"/>
  </w:num>
  <w:num w:numId="9">
    <w:abstractNumId w:val="5"/>
  </w:num>
  <w:num w:numId="10">
    <w:abstractNumId w:val="7"/>
  </w:num>
  <w:num w:numId="11">
    <w:abstractNumId w:val="9"/>
  </w:num>
  <w:num w:numId="12">
    <w:abstractNumId w:val="11"/>
  </w:num>
  <w:num w:numId="13">
    <w:abstractNumId w:val="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5DE70062"/>
    <w:rsid w:val="0E866D40"/>
    <w:rsid w:val="0F5326D7"/>
    <w:rsid w:val="143730A5"/>
    <w:rsid w:val="2024454A"/>
    <w:rsid w:val="20C52772"/>
    <w:rsid w:val="21605243"/>
    <w:rsid w:val="24361377"/>
    <w:rsid w:val="24AD6FB5"/>
    <w:rsid w:val="26A66D2F"/>
    <w:rsid w:val="276B45BE"/>
    <w:rsid w:val="296B4121"/>
    <w:rsid w:val="2FF81704"/>
    <w:rsid w:val="37FB4363"/>
    <w:rsid w:val="3BA309F4"/>
    <w:rsid w:val="405B73B6"/>
    <w:rsid w:val="444F4881"/>
    <w:rsid w:val="48D172EF"/>
    <w:rsid w:val="48DD2A1E"/>
    <w:rsid w:val="4CF86059"/>
    <w:rsid w:val="511F7C7C"/>
    <w:rsid w:val="521A76DF"/>
    <w:rsid w:val="532B2A15"/>
    <w:rsid w:val="54B77C61"/>
    <w:rsid w:val="56CA5570"/>
    <w:rsid w:val="581715A8"/>
    <w:rsid w:val="5DE70062"/>
    <w:rsid w:val="61024A78"/>
    <w:rsid w:val="614442C4"/>
    <w:rsid w:val="629009DE"/>
    <w:rsid w:val="643C3658"/>
    <w:rsid w:val="64464EBB"/>
    <w:rsid w:val="671B79BC"/>
    <w:rsid w:val="6A5D5D94"/>
    <w:rsid w:val="6F4C2788"/>
    <w:rsid w:val="6FE708FA"/>
    <w:rsid w:val="709472BF"/>
    <w:rsid w:val="75EC57D4"/>
    <w:rsid w:val="764F245E"/>
    <w:rsid w:val="765E7273"/>
    <w:rsid w:val="7A9A280F"/>
    <w:rsid w:val="7E9A1652"/>
    <w:rsid w:val="7FE0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line="560" w:lineRule="atLeast"/>
    </w:pPr>
    <w:rPr>
      <w:rFonts w:eastAsia="微软雅黑"/>
      <w:sz w:val="44"/>
      <w:szCs w:val="22"/>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响应正文"/>
    <w:basedOn w:val="1"/>
    <w:qFormat/>
    <w:uiPriority w:val="0"/>
    <w:pPr>
      <w:spacing w:line="360" w:lineRule="auto"/>
      <w:ind w:firstLine="640" w:firstLineChars="200"/>
    </w:pPr>
    <w:rPr>
      <w:sz w:val="24"/>
    </w:rPr>
  </w:style>
  <w:style w:type="paragraph" w:styleId="7">
    <w:name w:val="table of authorities"/>
    <w:basedOn w:val="1"/>
    <w:next w:val="1"/>
    <w:unhideWhenUsed/>
    <w:qFormat/>
    <w:uiPriority w:val="0"/>
    <w:pPr>
      <w:ind w:left="420" w:leftChars="200"/>
    </w:pPr>
    <w:rPr>
      <w:rFonts w:hint="eastAsia"/>
      <w:sz w:val="21"/>
    </w:rPr>
  </w:style>
  <w:style w:type="paragraph" w:styleId="8">
    <w:name w:val="Normal Indent"/>
    <w:basedOn w:val="1"/>
    <w:autoRedefine/>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rPr>
  </w:style>
  <w:style w:type="paragraph" w:styleId="13">
    <w:name w:val="footer"/>
    <w:basedOn w:val="1"/>
    <w:autoRedefine/>
    <w:qFormat/>
    <w:uiPriority w:val="99"/>
    <w:pPr>
      <w:tabs>
        <w:tab w:val="center" w:pos="4153"/>
        <w:tab w:val="right" w:pos="8306"/>
      </w:tabs>
      <w:snapToGrid w:val="0"/>
      <w:jc w:val="left"/>
    </w:pPr>
    <w:rPr>
      <w:sz w:val="18"/>
      <w:szCs w:val="20"/>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39"/>
    <w:pPr>
      <w:ind w:left="210"/>
      <w:jc w:val="left"/>
    </w:pPr>
    <w:rPr>
      <w:rFonts w:ascii="Calibri" w:hAnsi="Calibri" w:cs="Calibri"/>
      <w:smallCaps/>
      <w:sz w:val="20"/>
      <w:szCs w:val="20"/>
    </w:rPr>
  </w:style>
  <w:style w:type="paragraph" w:styleId="18">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Arial" w:hAnsi="Arial"/>
      <w:b/>
    </w:rPr>
  </w:style>
  <w:style w:type="paragraph" w:styleId="21">
    <w:name w:val="Body Text First Indent"/>
    <w:basedOn w:val="10"/>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2">
    <w:name w:val="Body Text First Indent 2"/>
    <w:basedOn w:val="11"/>
    <w:next w:val="1"/>
    <w:autoRedefine/>
    <w:qFormat/>
    <w:uiPriority w:val="0"/>
    <w:pPr>
      <w:ind w:left="420" w:firstLine="42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autoRedefine/>
    <w:qFormat/>
    <w:uiPriority w:val="0"/>
  </w:style>
  <w:style w:type="paragraph" w:customStyle="1" w:styleId="27">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8">
    <w:name w:val="首行缩进"/>
    <w:basedOn w:val="1"/>
    <w:autoRedefine/>
    <w:qFormat/>
    <w:uiPriority w:val="0"/>
    <w:pPr>
      <w:spacing w:line="360" w:lineRule="auto"/>
      <w:ind w:left="210" w:leftChars="100" w:firstLine="420" w:firstLineChars="200"/>
    </w:pPr>
    <w:rPr>
      <w:rFonts w:ascii="宋体" w:hAnsi="宋体"/>
    </w:rPr>
  </w:style>
  <w:style w:type="paragraph" w:customStyle="1" w:styleId="2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样式1"/>
    <w:basedOn w:val="1"/>
    <w:next w:val="6"/>
    <w:autoRedefine/>
    <w:qFormat/>
    <w:uiPriority w:val="0"/>
    <w:pPr>
      <w:spacing w:line="360" w:lineRule="auto"/>
      <w:ind w:firstLine="420" w:firstLineChars="200"/>
    </w:pPr>
    <w:rPr>
      <w:rFonts w:ascii="宋体" w:hAnsi="宋体"/>
      <w:szCs w:val="21"/>
    </w:rPr>
  </w:style>
  <w:style w:type="paragraph" w:customStyle="1" w:styleId="32">
    <w:name w:val="D&amp;L"/>
    <w:basedOn w:val="15"/>
    <w:autoRedefine/>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33">
    <w:name w:val="Table Paragraph"/>
    <w:basedOn w:val="1"/>
    <w:autoRedefine/>
    <w:qFormat/>
    <w:uiPriority w:val="1"/>
    <w:rPr>
      <w:rFonts w:ascii="Noto Sans Mono CJK JP Regular" w:hAnsi="Noto Sans Mono CJK JP Regular" w:eastAsia="Noto Sans Mono CJK JP Regular" w:cs="Noto Sans Mono CJK JP Regular"/>
      <w:lang w:val="zh-CN" w:eastAsia="zh-CN" w:bidi="zh-CN"/>
    </w:rPr>
  </w:style>
  <w:style w:type="character" w:customStyle="1" w:styleId="34">
    <w:name w:val="fontstyle01"/>
    <w:autoRedefine/>
    <w:qFormat/>
    <w:uiPriority w:val="0"/>
    <w:rPr>
      <w:rFonts w:hint="eastAsia" w:ascii="宋体" w:hAnsi="宋体" w:eastAsia="宋体"/>
      <w:color w:val="000000"/>
      <w:sz w:val="22"/>
      <w:szCs w:val="22"/>
    </w:rPr>
  </w:style>
  <w:style w:type="character" w:customStyle="1" w:styleId="35">
    <w:name w:val="font51"/>
    <w:basedOn w:val="25"/>
    <w:autoRedefine/>
    <w:qFormat/>
    <w:uiPriority w:val="0"/>
    <w:rPr>
      <w:rFonts w:hint="eastAsia" w:ascii="宋体" w:hAnsi="宋体" w:eastAsia="宋体" w:cs="宋体"/>
      <w:color w:val="000000"/>
      <w:sz w:val="20"/>
      <w:szCs w:val="20"/>
      <w:u w:val="none"/>
    </w:rPr>
  </w:style>
  <w:style w:type="character" w:customStyle="1" w:styleId="36">
    <w:name w:val="font01"/>
    <w:basedOn w:val="25"/>
    <w:autoRedefine/>
    <w:qFormat/>
    <w:uiPriority w:val="0"/>
    <w:rPr>
      <w:rFonts w:hint="eastAsia" w:ascii="宋体" w:hAnsi="宋体" w:eastAsia="宋体" w:cs="宋体"/>
      <w:color w:val="000000"/>
      <w:sz w:val="22"/>
      <w:szCs w:val="22"/>
      <w:u w:val="none"/>
    </w:rPr>
  </w:style>
  <w:style w:type="paragraph" w:styleId="37">
    <w:name w:val="List Paragraph"/>
    <w:basedOn w:val="1"/>
    <w:autoRedefine/>
    <w:qFormat/>
    <w:uiPriority w:val="99"/>
    <w:pPr>
      <w:ind w:firstLine="420" w:firstLineChars="200"/>
    </w:pPr>
    <w:rPr>
      <w:rFonts w:ascii="Calibri" w:hAnsi="Calibri" w:eastAsia="宋体" w:cs="Times New Roman"/>
    </w:rPr>
  </w:style>
  <w:style w:type="character" w:customStyle="1" w:styleId="38">
    <w:name w:val="font61"/>
    <w:basedOn w:val="25"/>
    <w:qFormat/>
    <w:uiPriority w:val="0"/>
    <w:rPr>
      <w:rFonts w:hint="eastAsia" w:ascii="宋体" w:hAnsi="宋体" w:eastAsia="宋体" w:cs="宋体"/>
      <w:b/>
      <w:bCs/>
      <w:color w:val="000000"/>
      <w:sz w:val="18"/>
      <w:szCs w:val="18"/>
      <w:u w:val="none"/>
    </w:rPr>
  </w:style>
  <w:style w:type="table" w:customStyle="1" w:styleId="39">
    <w:name w:val="Table Normal"/>
    <w:autoRedefine/>
    <w:qFormat/>
    <w:uiPriority w:val="0"/>
    <w:tblPr>
      <w:tblCellMar>
        <w:top w:w="0" w:type="dxa"/>
        <w:left w:w="0" w:type="dxa"/>
        <w:bottom w:w="0" w:type="dxa"/>
        <w:right w:w="0" w:type="dxa"/>
      </w:tblCellMar>
    </w:tblPr>
  </w:style>
  <w:style w:type="character" w:customStyle="1" w:styleId="40">
    <w:name w:val="font11"/>
    <w:basedOn w:val="25"/>
    <w:qFormat/>
    <w:uiPriority w:val="0"/>
    <w:rPr>
      <w:rFonts w:hint="eastAsia" w:ascii="宋体" w:hAnsi="宋体" w:eastAsia="宋体" w:cs="宋体"/>
      <w:b/>
      <w:bCs/>
      <w:color w:val="000000"/>
      <w:sz w:val="24"/>
      <w:szCs w:val="24"/>
      <w:u w:val="none"/>
    </w:rPr>
  </w:style>
  <w:style w:type="character" w:customStyle="1" w:styleId="41">
    <w:name w:val="font21"/>
    <w:basedOn w:val="25"/>
    <w:qFormat/>
    <w:uiPriority w:val="0"/>
    <w:rPr>
      <w:rFonts w:hint="eastAsia" w:ascii="微软雅黑" w:hAnsi="微软雅黑" w:eastAsia="微软雅黑" w:cs="微软雅黑"/>
      <w:color w:val="000000"/>
      <w:sz w:val="18"/>
      <w:szCs w:val="18"/>
      <w:u w:val="none"/>
    </w:rPr>
  </w:style>
  <w:style w:type="character" w:customStyle="1" w:styleId="42">
    <w:name w:val="font41"/>
    <w:basedOn w:val="2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1395</Words>
  <Characters>1498</Characters>
  <Lines>0</Lines>
  <Paragraphs>0</Paragraphs>
  <TotalTime>1</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2024-03-08T00:33:00Z</dcterms:created>
  <dc:creator>Administrator</dc:creator>
  <cp:lastModifiedBy>刘不语_。</cp:lastModifiedBy>
  <cp:lastPrinted>2025-07-10T02:25:00Z</cp:lastPrinted>
  <dcterms:modified xsi:type="dcterms:W3CDTF">2025-11-17T06:33:36Z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8F64D16209E84E07AE0D3402339023E1_11</vt:lpwstr>
  </property>
  <property fmtid="{D5CDD505-2E9C-101B-9397-08002B2CF9AE}" pid="4" name="KSOTemplateDocerSaveRecord">
    <vt:lpwstr>eyJoZGlkIjoiNWE3M2U2YjU4OGZlOWQzM2I0OWY3NTg0NjQ3ODE1ZDkiLCJ1c2VySWQiOiI1MzAyMjYxOTIifQ==</vt:lpwstr>
  </property>
</Properties>
</file>