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9DC7C0">
      <w:pPr>
        <w:jc w:val="center"/>
        <w:rPr>
          <w:rFonts w:ascii="宋体" w:hAnsi="宋体"/>
          <w:b/>
          <w:color w:val="auto"/>
          <w:sz w:val="28"/>
          <w:szCs w:val="28"/>
          <w:highlight w:val="none"/>
        </w:rPr>
      </w:pPr>
      <w:bookmarkStart w:id="0" w:name="OLE_LINK2"/>
    </w:p>
    <w:p w14:paraId="58E4E1DC">
      <w:pPr>
        <w:jc w:val="center"/>
        <w:rPr>
          <w:rFonts w:ascii="宋体" w:hAnsi="宋体"/>
          <w:b/>
          <w:color w:val="auto"/>
          <w:sz w:val="36"/>
          <w:szCs w:val="36"/>
          <w:highlight w:val="none"/>
        </w:rPr>
      </w:pPr>
      <w:r>
        <w:rPr>
          <w:rFonts w:hint="eastAsia" w:ascii="宋体" w:hAnsi="宋体"/>
          <w:b/>
          <w:color w:val="auto"/>
          <w:sz w:val="36"/>
          <w:szCs w:val="36"/>
          <w:highlight w:val="none"/>
        </w:rPr>
        <w:t>合肥庐阳国有资</w:t>
      </w:r>
      <w:r>
        <w:rPr>
          <w:rFonts w:hint="eastAsia" w:ascii="宋体" w:hAnsi="宋体"/>
          <w:b/>
          <w:color w:val="auto"/>
          <w:sz w:val="36"/>
          <w:szCs w:val="36"/>
          <w:highlight w:val="none"/>
          <w:lang w:val="en-US" w:eastAsia="zh-CN"/>
        </w:rPr>
        <w:t>本</w:t>
      </w:r>
      <w:r>
        <w:rPr>
          <w:rFonts w:hint="eastAsia" w:ascii="宋体" w:hAnsi="宋体"/>
          <w:b/>
          <w:color w:val="auto"/>
          <w:sz w:val="36"/>
          <w:szCs w:val="36"/>
          <w:highlight w:val="none"/>
        </w:rPr>
        <w:t>控股集团有限公司</w:t>
      </w:r>
    </w:p>
    <w:p w14:paraId="2A634B0D">
      <w:pPr>
        <w:jc w:val="center"/>
        <w:rPr>
          <w:rFonts w:ascii="宋体" w:hAnsi="宋体"/>
          <w:b/>
          <w:color w:val="auto"/>
          <w:sz w:val="44"/>
          <w:szCs w:val="44"/>
          <w:highlight w:val="none"/>
        </w:rPr>
      </w:pPr>
      <w:r>
        <w:rPr>
          <w:rFonts w:hint="eastAsia" w:ascii="宋体" w:hAnsi="宋体"/>
          <w:b/>
          <w:color w:val="auto"/>
          <w:sz w:val="36"/>
          <w:szCs w:val="36"/>
          <w:highlight w:val="none"/>
        </w:rPr>
        <w:t>202</w:t>
      </w:r>
      <w:r>
        <w:rPr>
          <w:rFonts w:hint="eastAsia" w:ascii="宋体" w:hAnsi="宋体"/>
          <w:b/>
          <w:color w:val="auto"/>
          <w:sz w:val="36"/>
          <w:szCs w:val="36"/>
          <w:highlight w:val="none"/>
          <w:lang w:val="en-US" w:eastAsia="zh-CN"/>
        </w:rPr>
        <w:t>6</w:t>
      </w:r>
      <w:r>
        <w:rPr>
          <w:rFonts w:hint="eastAsia" w:ascii="宋体" w:hAnsi="宋体"/>
          <w:b/>
          <w:color w:val="auto"/>
          <w:sz w:val="36"/>
          <w:szCs w:val="36"/>
          <w:highlight w:val="none"/>
        </w:rPr>
        <w:t>年度主体信用评级项目</w:t>
      </w:r>
    </w:p>
    <w:p w14:paraId="0691E958">
      <w:pPr>
        <w:jc w:val="center"/>
        <w:rPr>
          <w:rFonts w:ascii="宋体" w:hAnsi="宋体"/>
          <w:b/>
          <w:color w:val="auto"/>
          <w:sz w:val="44"/>
          <w:szCs w:val="44"/>
          <w:highlight w:val="none"/>
        </w:rPr>
      </w:pPr>
    </w:p>
    <w:p w14:paraId="14D2AE6C">
      <w:pPr>
        <w:spacing w:line="400" w:lineRule="atLeast"/>
        <w:jc w:val="center"/>
        <w:rPr>
          <w:rFonts w:ascii="宋体" w:hAnsi="宋体"/>
          <w:b/>
          <w:color w:val="auto"/>
          <w:sz w:val="28"/>
          <w:szCs w:val="28"/>
          <w:highlight w:val="none"/>
        </w:rPr>
      </w:pPr>
      <w:r>
        <w:rPr>
          <w:rFonts w:cs="宋体"/>
          <w:b/>
          <w:bCs/>
          <w:color w:val="auto"/>
          <w:sz w:val="32"/>
          <w:szCs w:val="32"/>
          <w:highlight w:val="none"/>
        </w:rPr>
        <w:t xml:space="preserve"> </w:t>
      </w:r>
      <w:r>
        <w:rPr>
          <w:rFonts w:hint="eastAsia" w:ascii="宋体" w:hAnsi="宋体"/>
          <w:b/>
          <w:color w:val="auto"/>
          <w:sz w:val="28"/>
          <w:szCs w:val="28"/>
          <w:highlight w:val="none"/>
        </w:rPr>
        <w:t xml:space="preserve"> </w:t>
      </w:r>
    </w:p>
    <w:p w14:paraId="19ECB09D">
      <w:pPr>
        <w:jc w:val="center"/>
        <w:rPr>
          <w:rFonts w:ascii="宋体" w:hAnsi="宋体"/>
          <w:b/>
          <w:color w:val="auto"/>
          <w:sz w:val="28"/>
          <w:szCs w:val="28"/>
          <w:highlight w:val="none"/>
        </w:rPr>
      </w:pPr>
    </w:p>
    <w:p w14:paraId="34F86BFD">
      <w:pPr>
        <w:spacing w:line="1200" w:lineRule="auto"/>
        <w:jc w:val="center"/>
        <w:rPr>
          <w:rFonts w:ascii="宋体" w:hAnsi="宋体"/>
          <w:b/>
          <w:color w:val="auto"/>
          <w:sz w:val="72"/>
          <w:szCs w:val="72"/>
          <w:highlight w:val="none"/>
        </w:rPr>
      </w:pPr>
      <w:r>
        <w:rPr>
          <w:rFonts w:hint="eastAsia" w:ascii="宋体" w:hAnsi="宋体"/>
          <w:b/>
          <w:color w:val="auto"/>
          <w:sz w:val="72"/>
          <w:szCs w:val="72"/>
          <w:highlight w:val="none"/>
        </w:rPr>
        <w:t>招</w:t>
      </w:r>
    </w:p>
    <w:p w14:paraId="4CAE8CD3">
      <w:pPr>
        <w:spacing w:line="1200" w:lineRule="auto"/>
        <w:jc w:val="center"/>
        <w:rPr>
          <w:rFonts w:ascii="宋体" w:hAnsi="宋体"/>
          <w:b/>
          <w:color w:val="auto"/>
          <w:sz w:val="72"/>
          <w:szCs w:val="72"/>
          <w:highlight w:val="none"/>
        </w:rPr>
      </w:pPr>
      <w:r>
        <w:rPr>
          <w:rFonts w:hint="eastAsia" w:ascii="宋体" w:hAnsi="宋体"/>
          <w:b/>
          <w:color w:val="auto"/>
          <w:sz w:val="72"/>
          <w:szCs w:val="72"/>
          <w:highlight w:val="none"/>
        </w:rPr>
        <w:t>标</w:t>
      </w:r>
    </w:p>
    <w:p w14:paraId="6771FC79">
      <w:pPr>
        <w:spacing w:line="120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704F4D2A">
      <w:pPr>
        <w:spacing w:line="1200" w:lineRule="auto"/>
        <w:jc w:val="center"/>
        <w:rPr>
          <w:rFonts w:ascii="宋体" w:hAnsi="宋体"/>
          <w:b/>
          <w:color w:val="auto"/>
          <w:sz w:val="72"/>
          <w:szCs w:val="72"/>
          <w:highlight w:val="none"/>
        </w:rPr>
      </w:pPr>
      <w:r>
        <w:rPr>
          <w:rFonts w:hint="eastAsia" w:ascii="宋体" w:hAnsi="宋体"/>
          <w:b/>
          <w:color w:val="auto"/>
          <w:sz w:val="72"/>
          <w:szCs w:val="72"/>
          <w:highlight w:val="none"/>
        </w:rPr>
        <w:t>件</w:t>
      </w:r>
    </w:p>
    <w:p w14:paraId="326CCAC4">
      <w:pPr>
        <w:rPr>
          <w:rFonts w:ascii="宋体" w:hAnsi="宋体"/>
          <w:color w:val="auto"/>
          <w:sz w:val="28"/>
          <w:szCs w:val="28"/>
          <w:highlight w:val="none"/>
        </w:rPr>
      </w:pPr>
    </w:p>
    <w:p w14:paraId="0FAA273F">
      <w:pPr>
        <w:rPr>
          <w:rFonts w:ascii="宋体" w:hAnsi="宋体"/>
          <w:color w:val="auto"/>
          <w:sz w:val="28"/>
          <w:szCs w:val="28"/>
          <w:highlight w:val="none"/>
        </w:rPr>
      </w:pPr>
    </w:p>
    <w:p w14:paraId="394B8BFE">
      <w:pPr>
        <w:pStyle w:val="25"/>
        <w:ind w:firstLine="420"/>
        <w:rPr>
          <w:highlight w:val="none"/>
        </w:rPr>
      </w:pPr>
    </w:p>
    <w:p w14:paraId="1F826A4A">
      <w:pPr>
        <w:jc w:val="center"/>
        <w:rPr>
          <w:rFonts w:ascii="宋体" w:hAnsi="宋体"/>
          <w:b/>
          <w:color w:val="auto"/>
          <w:sz w:val="28"/>
          <w:szCs w:val="28"/>
          <w:highlight w:val="none"/>
        </w:rPr>
      </w:pPr>
      <w:r>
        <w:rPr>
          <w:rFonts w:hint="eastAsia" w:ascii="宋体" w:hAnsi="宋体"/>
          <w:b/>
          <w:color w:val="auto"/>
          <w:sz w:val="28"/>
          <w:szCs w:val="28"/>
          <w:highlight w:val="none"/>
          <w:u w:val="single"/>
        </w:rPr>
        <w:t xml:space="preserve"> 202</w:t>
      </w:r>
      <w:r>
        <w:rPr>
          <w:rFonts w:hint="eastAsia" w:ascii="宋体" w:hAnsi="宋体"/>
          <w:b/>
          <w:color w:val="auto"/>
          <w:sz w:val="28"/>
          <w:szCs w:val="28"/>
          <w:highlight w:val="none"/>
          <w:u w:val="single"/>
          <w:lang w:val="en-US" w:eastAsia="zh-CN"/>
        </w:rPr>
        <w:t>6</w:t>
      </w:r>
      <w:r>
        <w:rPr>
          <w:rFonts w:hint="eastAsia" w:ascii="宋体" w:hAnsi="宋体"/>
          <w:b/>
          <w:color w:val="auto"/>
          <w:sz w:val="28"/>
          <w:szCs w:val="28"/>
          <w:highlight w:val="none"/>
          <w:u w:val="single"/>
        </w:rPr>
        <w:t xml:space="preserve"> </w:t>
      </w:r>
      <w:r>
        <w:rPr>
          <w:rFonts w:hint="eastAsia" w:ascii="宋体" w:hAnsi="宋体"/>
          <w:b/>
          <w:color w:val="auto"/>
          <w:sz w:val="28"/>
          <w:szCs w:val="28"/>
          <w:highlight w:val="none"/>
        </w:rPr>
        <w:t>年</w:t>
      </w:r>
      <w:r>
        <w:rPr>
          <w:rFonts w:hint="eastAsia" w:ascii="宋体" w:hAnsi="宋体"/>
          <w:b/>
          <w:color w:val="auto"/>
          <w:sz w:val="28"/>
          <w:szCs w:val="28"/>
          <w:highlight w:val="none"/>
          <w:u w:val="single"/>
        </w:rPr>
        <w:t xml:space="preserve"> </w:t>
      </w:r>
      <w:r>
        <w:rPr>
          <w:rFonts w:hint="eastAsia" w:ascii="宋体" w:hAnsi="宋体"/>
          <w:b/>
          <w:color w:val="auto"/>
          <w:sz w:val="28"/>
          <w:szCs w:val="28"/>
          <w:highlight w:val="none"/>
          <w:u w:val="single"/>
          <w:lang w:val="en-US" w:eastAsia="zh-CN"/>
        </w:rPr>
        <w:t>10</w:t>
      </w:r>
      <w:r>
        <w:rPr>
          <w:rFonts w:hint="eastAsia" w:ascii="宋体" w:hAnsi="宋体"/>
          <w:b/>
          <w:color w:val="auto"/>
          <w:sz w:val="28"/>
          <w:szCs w:val="28"/>
          <w:highlight w:val="none"/>
        </w:rPr>
        <w:t>月</w:t>
      </w:r>
    </w:p>
    <w:p w14:paraId="4D47D371">
      <w:pPr>
        <w:pStyle w:val="25"/>
        <w:ind w:firstLine="420"/>
        <w:rPr>
          <w:highlight w:val="none"/>
        </w:rPr>
      </w:pPr>
    </w:p>
    <w:p w14:paraId="157D6DF2">
      <w:pPr>
        <w:ind w:firstLine="3607" w:firstLineChars="998"/>
        <w:rPr>
          <w:rFonts w:ascii="宋体" w:hAnsi="宋体"/>
          <w:b/>
          <w:color w:val="auto"/>
          <w:sz w:val="36"/>
          <w:highlight w:val="none"/>
        </w:rPr>
        <w:sectPr>
          <w:pgSz w:w="11906" w:h="16838"/>
          <w:pgMar w:top="1440" w:right="1800" w:bottom="1440" w:left="1800" w:header="851" w:footer="992" w:gutter="0"/>
          <w:cols w:space="720" w:num="1"/>
          <w:docGrid w:type="lines" w:linePitch="312" w:charSpace="0"/>
        </w:sectPr>
      </w:pPr>
    </w:p>
    <w:p w14:paraId="0CC06B6E">
      <w:pPr>
        <w:ind w:firstLine="3607" w:firstLineChars="998"/>
        <w:rPr>
          <w:rFonts w:ascii="宋体" w:hAnsi="宋体"/>
          <w:b/>
          <w:color w:val="auto"/>
          <w:sz w:val="36"/>
          <w:highlight w:val="none"/>
        </w:rPr>
      </w:pPr>
      <w:r>
        <w:rPr>
          <w:rFonts w:hint="eastAsia" w:ascii="宋体" w:hAnsi="宋体"/>
          <w:b/>
          <w:color w:val="auto"/>
          <w:sz w:val="36"/>
          <w:highlight w:val="none"/>
        </w:rPr>
        <w:t>目  录</w:t>
      </w:r>
    </w:p>
    <w:p w14:paraId="3C22485F">
      <w:pPr>
        <w:pStyle w:val="19"/>
        <w:tabs>
          <w:tab w:val="right" w:leader="dot" w:pos="8306"/>
        </w:tabs>
        <w:spacing w:line="960" w:lineRule="exact"/>
        <w:rPr>
          <w:rFonts w:ascii="宋体" w:hAnsi="宋体" w:cs="宋体"/>
          <w:sz w:val="28"/>
          <w:szCs w:val="28"/>
          <w:highlight w:val="none"/>
        </w:rPr>
      </w:pP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TOC \o "1-1" \h \u </w:instrText>
      </w:r>
      <w:r>
        <w:rPr>
          <w:rFonts w:hint="eastAsia" w:ascii="宋体" w:hAnsi="宋体" w:cs="宋体"/>
          <w:color w:val="auto"/>
          <w:sz w:val="28"/>
          <w:szCs w:val="28"/>
          <w:highlight w:val="none"/>
        </w:rPr>
        <w:fldChar w:fldCharType="separate"/>
      </w:r>
      <w:r>
        <w:rPr>
          <w:highlight w:val="none"/>
        </w:rPr>
        <w:fldChar w:fldCharType="begin"/>
      </w:r>
      <w:r>
        <w:rPr>
          <w:highlight w:val="none"/>
        </w:rPr>
        <w:instrText xml:space="preserve"> HYPERLINK \l "_Toc26662" </w:instrText>
      </w:r>
      <w:r>
        <w:rPr>
          <w:highlight w:val="none"/>
        </w:rPr>
        <w:fldChar w:fldCharType="separate"/>
      </w:r>
      <w:r>
        <w:rPr>
          <w:rFonts w:hint="eastAsia" w:ascii="宋体" w:hAnsi="宋体" w:cs="宋体"/>
          <w:bCs/>
          <w:sz w:val="28"/>
          <w:szCs w:val="28"/>
          <w:highlight w:val="none"/>
        </w:rPr>
        <w:t>第一章  招标公告</w:t>
      </w:r>
      <w:r>
        <w:rPr>
          <w:rFonts w:hint="eastAsia" w:ascii="宋体" w:hAnsi="宋体" w:cs="宋体"/>
          <w:sz w:val="28"/>
          <w:szCs w:val="28"/>
          <w:highlight w:val="none"/>
        </w:rPr>
        <w:tab/>
      </w: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PAGEREF _Toc26662 \h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1</w:t>
      </w:r>
      <w:r>
        <w:rPr>
          <w:rFonts w:hint="eastAsia" w:ascii="宋体" w:hAnsi="宋体" w:cs="宋体"/>
          <w:sz w:val="28"/>
          <w:szCs w:val="28"/>
          <w:highlight w:val="none"/>
        </w:rPr>
        <w:fldChar w:fldCharType="end"/>
      </w:r>
      <w:r>
        <w:rPr>
          <w:rFonts w:hint="eastAsia" w:ascii="宋体" w:hAnsi="宋体" w:cs="宋体"/>
          <w:sz w:val="28"/>
          <w:szCs w:val="28"/>
          <w:highlight w:val="none"/>
        </w:rPr>
        <w:fldChar w:fldCharType="end"/>
      </w:r>
    </w:p>
    <w:p w14:paraId="3D78A9E4">
      <w:pPr>
        <w:pStyle w:val="19"/>
        <w:tabs>
          <w:tab w:val="right" w:leader="dot" w:pos="8306"/>
        </w:tabs>
        <w:spacing w:line="960" w:lineRule="exact"/>
        <w:rPr>
          <w:rFonts w:ascii="宋体" w:hAnsi="宋体" w:cs="宋体"/>
          <w:sz w:val="28"/>
          <w:szCs w:val="28"/>
          <w:highlight w:val="none"/>
        </w:rPr>
      </w:pPr>
      <w:r>
        <w:rPr>
          <w:highlight w:val="none"/>
        </w:rPr>
        <w:fldChar w:fldCharType="begin"/>
      </w:r>
      <w:r>
        <w:rPr>
          <w:highlight w:val="none"/>
        </w:rPr>
        <w:instrText xml:space="preserve"> HYPERLINK \l "_Toc26271" </w:instrText>
      </w:r>
      <w:r>
        <w:rPr>
          <w:highlight w:val="none"/>
        </w:rPr>
        <w:fldChar w:fldCharType="separate"/>
      </w:r>
      <w:r>
        <w:rPr>
          <w:rFonts w:hint="eastAsia" w:ascii="宋体" w:hAnsi="宋体" w:cs="宋体"/>
          <w:bCs/>
          <w:sz w:val="28"/>
          <w:szCs w:val="28"/>
          <w:highlight w:val="none"/>
        </w:rPr>
        <w:t>第二章  投标人须知</w:t>
      </w:r>
      <w:r>
        <w:rPr>
          <w:rFonts w:hint="eastAsia" w:ascii="宋体" w:hAnsi="宋体" w:cs="宋体"/>
          <w:sz w:val="28"/>
          <w:szCs w:val="28"/>
          <w:highlight w:val="none"/>
        </w:rPr>
        <w:tab/>
      </w: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PAGEREF _Toc26271 \h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3</w:t>
      </w:r>
      <w:r>
        <w:rPr>
          <w:rFonts w:hint="eastAsia" w:ascii="宋体" w:hAnsi="宋体" w:cs="宋体"/>
          <w:sz w:val="28"/>
          <w:szCs w:val="28"/>
          <w:highlight w:val="none"/>
        </w:rPr>
        <w:fldChar w:fldCharType="end"/>
      </w:r>
      <w:r>
        <w:rPr>
          <w:rFonts w:hint="eastAsia" w:ascii="宋体" w:hAnsi="宋体" w:cs="宋体"/>
          <w:sz w:val="28"/>
          <w:szCs w:val="28"/>
          <w:highlight w:val="none"/>
        </w:rPr>
        <w:fldChar w:fldCharType="end"/>
      </w:r>
    </w:p>
    <w:p w14:paraId="0E54233F">
      <w:pPr>
        <w:pStyle w:val="19"/>
        <w:tabs>
          <w:tab w:val="right" w:leader="dot" w:pos="8306"/>
        </w:tabs>
        <w:spacing w:line="960" w:lineRule="exact"/>
        <w:rPr>
          <w:rFonts w:ascii="宋体" w:hAnsi="宋体" w:cs="宋体"/>
          <w:sz w:val="28"/>
          <w:szCs w:val="28"/>
          <w:highlight w:val="none"/>
        </w:rPr>
      </w:pPr>
      <w:r>
        <w:rPr>
          <w:highlight w:val="none"/>
        </w:rPr>
        <w:fldChar w:fldCharType="begin"/>
      </w:r>
      <w:r>
        <w:rPr>
          <w:highlight w:val="none"/>
        </w:rPr>
        <w:instrText xml:space="preserve"> HYPERLINK \l "_Toc16458" </w:instrText>
      </w:r>
      <w:r>
        <w:rPr>
          <w:highlight w:val="none"/>
        </w:rPr>
        <w:fldChar w:fldCharType="separate"/>
      </w:r>
      <w:r>
        <w:rPr>
          <w:rFonts w:hint="eastAsia" w:ascii="宋体" w:hAnsi="宋体" w:cs="宋体"/>
          <w:bCs/>
          <w:sz w:val="28"/>
          <w:szCs w:val="28"/>
          <w:highlight w:val="none"/>
        </w:rPr>
        <w:t>第三章  评标办法</w:t>
      </w:r>
      <w:r>
        <w:rPr>
          <w:rFonts w:hint="eastAsia" w:ascii="宋体" w:hAnsi="宋体" w:cs="宋体"/>
          <w:sz w:val="28"/>
          <w:szCs w:val="28"/>
          <w:highlight w:val="none"/>
        </w:rPr>
        <w:tab/>
      </w: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PAGEREF _Toc16458 \h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17</w:t>
      </w:r>
      <w:r>
        <w:rPr>
          <w:rFonts w:hint="eastAsia" w:ascii="宋体" w:hAnsi="宋体" w:cs="宋体"/>
          <w:sz w:val="28"/>
          <w:szCs w:val="28"/>
          <w:highlight w:val="none"/>
        </w:rPr>
        <w:fldChar w:fldCharType="end"/>
      </w:r>
      <w:r>
        <w:rPr>
          <w:rFonts w:hint="eastAsia" w:ascii="宋体" w:hAnsi="宋体" w:cs="宋体"/>
          <w:sz w:val="28"/>
          <w:szCs w:val="28"/>
          <w:highlight w:val="none"/>
        </w:rPr>
        <w:fldChar w:fldCharType="end"/>
      </w:r>
    </w:p>
    <w:p w14:paraId="45FF687D">
      <w:pPr>
        <w:pStyle w:val="19"/>
        <w:tabs>
          <w:tab w:val="right" w:leader="dot" w:pos="8306"/>
        </w:tabs>
        <w:spacing w:line="960" w:lineRule="exact"/>
        <w:rPr>
          <w:rFonts w:ascii="宋体" w:hAnsi="宋体" w:cs="宋体"/>
          <w:sz w:val="28"/>
          <w:szCs w:val="28"/>
          <w:highlight w:val="none"/>
        </w:rPr>
      </w:pPr>
      <w:r>
        <w:rPr>
          <w:highlight w:val="none"/>
        </w:rPr>
        <w:fldChar w:fldCharType="begin"/>
      </w:r>
      <w:r>
        <w:rPr>
          <w:highlight w:val="none"/>
        </w:rPr>
        <w:instrText xml:space="preserve"> HYPERLINK \l "_Toc30160" </w:instrText>
      </w:r>
      <w:r>
        <w:rPr>
          <w:highlight w:val="none"/>
        </w:rPr>
        <w:fldChar w:fldCharType="separate"/>
      </w:r>
      <w:r>
        <w:rPr>
          <w:rFonts w:hint="eastAsia" w:ascii="宋体" w:hAnsi="宋体" w:cs="宋体"/>
          <w:bCs/>
          <w:sz w:val="28"/>
          <w:szCs w:val="28"/>
          <w:highlight w:val="none"/>
        </w:rPr>
        <w:t>第四章  采购需求及要求</w:t>
      </w:r>
      <w:r>
        <w:rPr>
          <w:rFonts w:hint="eastAsia" w:ascii="宋体" w:hAnsi="宋体" w:cs="宋体"/>
          <w:sz w:val="28"/>
          <w:szCs w:val="28"/>
          <w:highlight w:val="none"/>
        </w:rPr>
        <w:tab/>
      </w: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PAGEREF _Toc30160 \h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23</w:t>
      </w:r>
      <w:r>
        <w:rPr>
          <w:rFonts w:hint="eastAsia" w:ascii="宋体" w:hAnsi="宋体" w:cs="宋体"/>
          <w:sz w:val="28"/>
          <w:szCs w:val="28"/>
          <w:highlight w:val="none"/>
        </w:rPr>
        <w:fldChar w:fldCharType="end"/>
      </w:r>
      <w:r>
        <w:rPr>
          <w:rFonts w:hint="eastAsia" w:ascii="宋体" w:hAnsi="宋体" w:cs="宋体"/>
          <w:sz w:val="28"/>
          <w:szCs w:val="28"/>
          <w:highlight w:val="none"/>
        </w:rPr>
        <w:fldChar w:fldCharType="end"/>
      </w:r>
    </w:p>
    <w:p w14:paraId="6363B1BE">
      <w:pPr>
        <w:pStyle w:val="19"/>
        <w:tabs>
          <w:tab w:val="right" w:leader="dot" w:pos="8306"/>
        </w:tabs>
        <w:spacing w:line="960" w:lineRule="exact"/>
        <w:rPr>
          <w:rFonts w:ascii="宋体" w:hAnsi="宋体" w:cs="宋体"/>
          <w:sz w:val="28"/>
          <w:szCs w:val="28"/>
          <w:highlight w:val="none"/>
        </w:rPr>
      </w:pPr>
      <w:r>
        <w:rPr>
          <w:highlight w:val="none"/>
        </w:rPr>
        <w:fldChar w:fldCharType="begin"/>
      </w:r>
      <w:r>
        <w:rPr>
          <w:highlight w:val="none"/>
        </w:rPr>
        <w:instrText xml:space="preserve"> HYPERLINK \l "_Toc14867" </w:instrText>
      </w:r>
      <w:r>
        <w:rPr>
          <w:highlight w:val="none"/>
        </w:rPr>
        <w:fldChar w:fldCharType="separate"/>
      </w:r>
      <w:r>
        <w:rPr>
          <w:rFonts w:hint="eastAsia" w:ascii="宋体" w:hAnsi="宋体" w:cs="宋体"/>
          <w:bCs/>
          <w:sz w:val="28"/>
          <w:szCs w:val="28"/>
          <w:highlight w:val="none"/>
        </w:rPr>
        <w:t>第五章  投标文件格式</w:t>
      </w:r>
      <w:r>
        <w:rPr>
          <w:rFonts w:hint="eastAsia" w:ascii="宋体" w:hAnsi="宋体" w:cs="宋体"/>
          <w:sz w:val="28"/>
          <w:szCs w:val="28"/>
          <w:highlight w:val="none"/>
        </w:rPr>
        <w:tab/>
      </w: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PAGEREF _Toc14867 \h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24</w:t>
      </w:r>
      <w:r>
        <w:rPr>
          <w:rFonts w:hint="eastAsia" w:ascii="宋体" w:hAnsi="宋体" w:cs="宋体"/>
          <w:sz w:val="28"/>
          <w:szCs w:val="28"/>
          <w:highlight w:val="none"/>
        </w:rPr>
        <w:fldChar w:fldCharType="end"/>
      </w:r>
      <w:r>
        <w:rPr>
          <w:rFonts w:hint="eastAsia" w:ascii="宋体" w:hAnsi="宋体" w:cs="宋体"/>
          <w:sz w:val="28"/>
          <w:szCs w:val="28"/>
          <w:highlight w:val="none"/>
        </w:rPr>
        <w:fldChar w:fldCharType="end"/>
      </w:r>
    </w:p>
    <w:p w14:paraId="4B289183">
      <w:pPr>
        <w:pStyle w:val="19"/>
        <w:tabs>
          <w:tab w:val="right" w:leader="dot" w:pos="8306"/>
        </w:tabs>
        <w:spacing w:line="960" w:lineRule="exact"/>
        <w:rPr>
          <w:rFonts w:ascii="宋体" w:hAnsi="宋体" w:cs="宋体"/>
          <w:sz w:val="28"/>
          <w:szCs w:val="28"/>
          <w:highlight w:val="none"/>
        </w:rPr>
      </w:pPr>
      <w:r>
        <w:rPr>
          <w:highlight w:val="none"/>
        </w:rPr>
        <w:fldChar w:fldCharType="begin"/>
      </w:r>
      <w:r>
        <w:rPr>
          <w:highlight w:val="none"/>
        </w:rPr>
        <w:instrText xml:space="preserve"> HYPERLINK \l "_Toc23093" </w:instrText>
      </w:r>
      <w:r>
        <w:rPr>
          <w:highlight w:val="none"/>
        </w:rPr>
        <w:fldChar w:fldCharType="separate"/>
      </w:r>
      <w:r>
        <w:rPr>
          <w:rFonts w:hint="eastAsia" w:ascii="宋体" w:hAnsi="宋体" w:cs="宋体"/>
          <w:bCs/>
          <w:sz w:val="28"/>
          <w:szCs w:val="28"/>
          <w:highlight w:val="none"/>
        </w:rPr>
        <w:t>第六章  招标单位、招标代理机构对本招标文件的确认表</w:t>
      </w:r>
      <w:r>
        <w:rPr>
          <w:rFonts w:hint="eastAsia" w:ascii="宋体" w:hAnsi="宋体" w:cs="宋体"/>
          <w:sz w:val="28"/>
          <w:szCs w:val="28"/>
          <w:highlight w:val="none"/>
        </w:rPr>
        <w:tab/>
      </w: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PAGEREF _Toc23093 \h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32</w:t>
      </w:r>
      <w:r>
        <w:rPr>
          <w:rFonts w:hint="eastAsia" w:ascii="宋体" w:hAnsi="宋体" w:cs="宋体"/>
          <w:sz w:val="28"/>
          <w:szCs w:val="28"/>
          <w:highlight w:val="none"/>
        </w:rPr>
        <w:fldChar w:fldCharType="end"/>
      </w:r>
      <w:r>
        <w:rPr>
          <w:rFonts w:hint="eastAsia" w:ascii="宋体" w:hAnsi="宋体" w:cs="宋体"/>
          <w:sz w:val="28"/>
          <w:szCs w:val="28"/>
          <w:highlight w:val="none"/>
        </w:rPr>
        <w:fldChar w:fldCharType="end"/>
      </w:r>
    </w:p>
    <w:p w14:paraId="44A69135">
      <w:pPr>
        <w:spacing w:line="960" w:lineRule="exact"/>
        <w:ind w:firstLine="280" w:firstLineChars="100"/>
        <w:jc w:val="center"/>
        <w:rPr>
          <w:rFonts w:ascii="宋体" w:hAnsi="宋体"/>
          <w:color w:val="auto"/>
          <w:sz w:val="28"/>
          <w:szCs w:val="28"/>
          <w:highlight w:val="none"/>
        </w:rPr>
      </w:pPr>
      <w:r>
        <w:rPr>
          <w:rFonts w:hint="eastAsia" w:ascii="宋体" w:hAnsi="宋体" w:cs="宋体"/>
          <w:color w:val="auto"/>
          <w:sz w:val="28"/>
          <w:szCs w:val="28"/>
          <w:highlight w:val="none"/>
        </w:rPr>
        <w:fldChar w:fldCharType="end"/>
      </w:r>
    </w:p>
    <w:p w14:paraId="02D032B5">
      <w:pPr>
        <w:pStyle w:val="3"/>
        <w:rPr>
          <w:highlight w:val="none"/>
        </w:rPr>
        <w:sectPr>
          <w:footerReference r:id="rId5" w:type="default"/>
          <w:pgSz w:w="11906" w:h="16838"/>
          <w:pgMar w:top="1440" w:right="1800" w:bottom="1440" w:left="1800" w:header="851" w:footer="992" w:gutter="0"/>
          <w:pgNumType w:start="1"/>
          <w:cols w:space="720" w:num="1"/>
          <w:docGrid w:type="lines" w:linePitch="312" w:charSpace="0"/>
        </w:sectPr>
      </w:pPr>
    </w:p>
    <w:p w14:paraId="76B1B569">
      <w:pPr>
        <w:spacing w:line="240" w:lineRule="auto"/>
        <w:jc w:val="center"/>
        <w:outlineLvl w:val="0"/>
        <w:rPr>
          <w:rFonts w:ascii="宋体" w:hAnsi="宋体"/>
          <w:b/>
          <w:bCs/>
          <w:color w:val="auto"/>
          <w:sz w:val="32"/>
          <w:szCs w:val="24"/>
          <w:highlight w:val="none"/>
        </w:rPr>
      </w:pPr>
      <w:bookmarkStart w:id="1" w:name="_Toc31228"/>
      <w:bookmarkStart w:id="2" w:name="_Toc26662"/>
      <w:bookmarkStart w:id="3" w:name="OLE_LINK1"/>
      <w:r>
        <w:rPr>
          <w:rFonts w:hint="eastAsia" w:ascii="宋体" w:hAnsi="宋体"/>
          <w:b/>
          <w:bCs/>
          <w:color w:val="auto"/>
          <w:sz w:val="32"/>
          <w:highlight w:val="none"/>
        </w:rPr>
        <w:t>第一章  招标公告</w:t>
      </w:r>
      <w:bookmarkEnd w:id="1"/>
      <w:bookmarkEnd w:id="2"/>
    </w:p>
    <w:bookmarkEnd w:id="3"/>
    <w:p w14:paraId="4E473056">
      <w:pPr>
        <w:spacing w:line="440" w:lineRule="exact"/>
        <w:ind w:firstLine="420" w:firstLineChars="200"/>
        <w:rPr>
          <w:rFonts w:ascii="宋体" w:hAnsi="宋体" w:cs="宋体"/>
          <w:color w:val="auto"/>
          <w:szCs w:val="21"/>
          <w:highlight w:val="none"/>
        </w:rPr>
      </w:pPr>
      <w:bookmarkStart w:id="4" w:name="_Toc23993"/>
      <w:bookmarkStart w:id="5" w:name="_Toc28359079"/>
      <w:bookmarkStart w:id="6" w:name="_Toc28359002"/>
      <w:bookmarkStart w:id="7" w:name="_Toc35393790"/>
      <w:bookmarkStart w:id="8" w:name="_Toc35393621"/>
      <w:bookmarkStart w:id="9" w:name="_Hlk24379207"/>
      <w:r>
        <w:rPr>
          <w:rFonts w:hint="eastAsia" w:ascii="宋体" w:hAnsi="宋体" w:cs="宋体"/>
          <w:color w:val="auto"/>
          <w:szCs w:val="21"/>
          <w:highlight w:val="none"/>
        </w:rPr>
        <w:t>项目概况</w:t>
      </w:r>
    </w:p>
    <w:p w14:paraId="33E5D17E">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u w:val="single"/>
        </w:rPr>
        <w:t>合肥庐阳国有资</w:t>
      </w:r>
      <w:r>
        <w:rPr>
          <w:rFonts w:hint="eastAsia" w:ascii="宋体" w:hAnsi="宋体" w:cs="宋体"/>
          <w:color w:val="auto"/>
          <w:szCs w:val="21"/>
          <w:highlight w:val="none"/>
          <w:u w:val="single"/>
          <w:lang w:val="en-US" w:eastAsia="zh-CN"/>
        </w:rPr>
        <w:t>本</w:t>
      </w:r>
      <w:r>
        <w:rPr>
          <w:rFonts w:hint="eastAsia" w:ascii="宋体" w:hAnsi="宋体" w:cs="宋体"/>
          <w:color w:val="auto"/>
          <w:szCs w:val="21"/>
          <w:highlight w:val="none"/>
          <w:u w:val="single"/>
        </w:rPr>
        <w:t>控股集团有限公司202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年度主体信用评级项目</w:t>
      </w:r>
      <w:r>
        <w:rPr>
          <w:rFonts w:hint="eastAsia" w:ascii="宋体" w:hAnsi="宋体" w:cs="宋体"/>
          <w:color w:val="auto"/>
          <w:szCs w:val="21"/>
          <w:highlight w:val="none"/>
        </w:rPr>
        <w:t>的投标人应在“庐阳国</w:t>
      </w:r>
      <w:r>
        <w:rPr>
          <w:rFonts w:hint="eastAsia" w:ascii="宋体" w:hAnsi="宋体" w:cs="宋体"/>
          <w:color w:val="auto"/>
          <w:szCs w:val="21"/>
          <w:highlight w:val="none"/>
          <w:lang w:val="en-US" w:eastAsia="zh-CN"/>
        </w:rPr>
        <w:t>控</w:t>
      </w:r>
      <w:r>
        <w:rPr>
          <w:rFonts w:hint="eastAsia" w:ascii="宋体" w:hAnsi="宋体" w:cs="宋体"/>
          <w:color w:val="auto"/>
          <w:szCs w:val="21"/>
          <w:highlight w:val="none"/>
        </w:rPr>
        <w:t>集团”</w:t>
      </w:r>
      <w:r>
        <w:rPr>
          <w:rFonts w:hint="eastAsia" w:ascii="宋体" w:hAnsi="宋体" w:cs="宋体"/>
          <w:color w:val="auto"/>
          <w:szCs w:val="21"/>
          <w:highlight w:val="none"/>
          <w:lang w:eastAsia="zh-CN"/>
        </w:rPr>
        <w:t>官方网站</w:t>
      </w:r>
      <w:r>
        <w:rPr>
          <w:rFonts w:hint="eastAsia" w:ascii="宋体" w:hAnsi="宋体" w:cs="宋体"/>
          <w:color w:val="auto"/>
          <w:szCs w:val="21"/>
          <w:highlight w:val="none"/>
        </w:rPr>
        <w:t>上获取招标文件，并于</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14</w:t>
      </w:r>
      <w:r>
        <w:rPr>
          <w:rFonts w:hint="eastAsia" w:ascii="宋体" w:hAnsi="宋体" w:cs="宋体"/>
          <w:color w:val="auto"/>
          <w:szCs w:val="21"/>
          <w:highlight w:val="none"/>
          <w:u w:val="single"/>
        </w:rPr>
        <w:t>日1</w:t>
      </w:r>
      <w:r>
        <w:rPr>
          <w:rFonts w:hint="eastAsia" w:ascii="宋体" w:hAnsi="宋体" w:cs="宋体"/>
          <w:color w:val="auto"/>
          <w:szCs w:val="21"/>
          <w:highlight w:val="none"/>
          <w:u w:val="single"/>
          <w:lang w:val="en-US" w:eastAsia="zh-CN"/>
        </w:rPr>
        <w:t>4</w:t>
      </w:r>
      <w:r>
        <w:rPr>
          <w:rFonts w:hint="eastAsia" w:ascii="宋体" w:hAnsi="宋体" w:cs="宋体"/>
          <w:color w:val="auto"/>
          <w:szCs w:val="21"/>
          <w:highlight w:val="none"/>
          <w:u w:val="single"/>
        </w:rPr>
        <w:t>点00分</w:t>
      </w:r>
      <w:r>
        <w:rPr>
          <w:rFonts w:hint="eastAsia" w:ascii="宋体" w:hAnsi="宋体" w:cs="宋体"/>
          <w:color w:val="auto"/>
          <w:szCs w:val="21"/>
          <w:highlight w:val="none"/>
        </w:rPr>
        <w:t>（北京时间）前递交投标文件。</w:t>
      </w:r>
    </w:p>
    <w:p w14:paraId="7728415F">
      <w:pPr>
        <w:pStyle w:val="3"/>
        <w:spacing w:line="440" w:lineRule="exact"/>
        <w:ind w:left="0" w:firstLine="422" w:firstLineChars="200"/>
        <w:rPr>
          <w:rFonts w:ascii="宋体" w:hAnsi="宋体" w:cs="宋体"/>
          <w:b/>
          <w:bCs/>
          <w:sz w:val="21"/>
          <w:szCs w:val="21"/>
          <w:highlight w:val="none"/>
        </w:rPr>
      </w:pPr>
      <w:r>
        <w:rPr>
          <w:rFonts w:hint="eastAsia" w:ascii="宋体" w:hAnsi="宋体" w:cs="宋体"/>
          <w:b/>
          <w:bCs/>
          <w:sz w:val="21"/>
          <w:szCs w:val="21"/>
          <w:highlight w:val="none"/>
        </w:rPr>
        <w:t>一、项目基本情况</w:t>
      </w:r>
      <w:bookmarkEnd w:id="4"/>
      <w:bookmarkEnd w:id="5"/>
      <w:bookmarkEnd w:id="6"/>
      <w:bookmarkEnd w:id="7"/>
      <w:bookmarkEnd w:id="8"/>
    </w:p>
    <w:p w14:paraId="078671A4">
      <w:pPr>
        <w:spacing w:line="440" w:lineRule="exact"/>
        <w:ind w:firstLine="420" w:firstLineChars="200"/>
        <w:rPr>
          <w:rFonts w:hint="default" w:ascii="宋体" w:hAnsi="宋体" w:eastAsia="宋体" w:cs="宋体"/>
          <w:color w:val="auto"/>
          <w:szCs w:val="21"/>
          <w:highlight w:val="none"/>
          <w:u w:val="single"/>
          <w:lang w:val="en-US" w:eastAsia="zh-CN"/>
        </w:rPr>
      </w:pPr>
      <w:r>
        <w:rPr>
          <w:rFonts w:hint="eastAsia" w:ascii="宋体" w:hAnsi="宋体" w:cs="宋体"/>
          <w:color w:val="auto"/>
          <w:szCs w:val="21"/>
          <w:highlight w:val="none"/>
        </w:rPr>
        <w:t>项目名称：</w:t>
      </w:r>
      <w:bookmarkEnd w:id="9"/>
      <w:r>
        <w:rPr>
          <w:rFonts w:hint="eastAsia" w:ascii="宋体" w:hAnsi="宋体" w:cs="宋体"/>
          <w:color w:val="auto"/>
          <w:szCs w:val="21"/>
          <w:highlight w:val="none"/>
          <w:u w:val="single"/>
        </w:rPr>
        <w:t>合肥庐阳国有资</w:t>
      </w:r>
      <w:r>
        <w:rPr>
          <w:rFonts w:hint="eastAsia" w:ascii="宋体" w:hAnsi="宋体" w:cs="宋体"/>
          <w:color w:val="auto"/>
          <w:szCs w:val="21"/>
          <w:highlight w:val="none"/>
          <w:u w:val="single"/>
          <w:lang w:val="en-US" w:eastAsia="zh-CN"/>
        </w:rPr>
        <w:t>本</w:t>
      </w:r>
      <w:r>
        <w:rPr>
          <w:rFonts w:hint="eastAsia" w:ascii="宋体" w:hAnsi="宋体" w:cs="宋体"/>
          <w:color w:val="auto"/>
          <w:szCs w:val="21"/>
          <w:highlight w:val="none"/>
          <w:u w:val="single"/>
        </w:rPr>
        <w:t>控股集团有限公司202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年度主体信用评级项目</w:t>
      </w:r>
    </w:p>
    <w:p w14:paraId="69CCF19F">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预算金额：</w:t>
      </w:r>
      <w:r>
        <w:rPr>
          <w:rFonts w:hint="eastAsia" w:ascii="宋体" w:hAnsi="宋体" w:cs="宋体"/>
          <w:color w:val="auto"/>
          <w:szCs w:val="21"/>
          <w:highlight w:val="none"/>
          <w:lang w:eastAsia="zh-CN"/>
        </w:rPr>
        <w:t>不超过</w:t>
      </w:r>
      <w:r>
        <w:rPr>
          <w:rFonts w:hint="eastAsia" w:ascii="宋体" w:hAnsi="宋体" w:cs="宋体"/>
          <w:color w:val="auto"/>
          <w:szCs w:val="21"/>
          <w:highlight w:val="none"/>
        </w:rPr>
        <w:t>25万元</w:t>
      </w:r>
    </w:p>
    <w:p w14:paraId="6F57F933">
      <w:pPr>
        <w:spacing w:line="44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采购需求：开展外部主体信用评级</w:t>
      </w:r>
      <w:r>
        <w:rPr>
          <w:rFonts w:hint="eastAsia"/>
          <w:color w:val="auto"/>
          <w:szCs w:val="22"/>
          <w:highlight w:val="none"/>
        </w:rPr>
        <w:t>，</w:t>
      </w:r>
      <w:r>
        <w:rPr>
          <w:rFonts w:hint="eastAsia" w:ascii="宋体" w:hAnsi="宋体" w:cs="宋体"/>
          <w:color w:val="auto"/>
          <w:szCs w:val="21"/>
          <w:highlight w:val="none"/>
        </w:rPr>
        <w:t>具体详见招标文件</w:t>
      </w:r>
    </w:p>
    <w:p w14:paraId="21BECCCB">
      <w:pPr>
        <w:spacing w:line="44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合同履行期限：</w:t>
      </w:r>
      <w:r>
        <w:rPr>
          <w:rFonts w:hint="eastAsia" w:cs="Times New Roman"/>
          <w:color w:val="auto"/>
          <w:highlight w:val="none"/>
          <w:lang w:eastAsia="zh-CN"/>
        </w:rPr>
        <w:t>自合同签订之日起</w:t>
      </w:r>
      <w:r>
        <w:rPr>
          <w:rFonts w:hint="eastAsia" w:cs="Times New Roman"/>
          <w:color w:val="auto"/>
          <w:highlight w:val="none"/>
          <w:lang w:val="en-US" w:eastAsia="zh-CN"/>
        </w:rPr>
        <w:t>70</w:t>
      </w:r>
      <w:r>
        <w:rPr>
          <w:rFonts w:hint="eastAsia" w:cs="Times New Roman"/>
          <w:color w:val="auto"/>
          <w:highlight w:val="none"/>
          <w:lang w:eastAsia="zh-CN"/>
        </w:rPr>
        <w:t>个日历日内完成信用评级工作</w:t>
      </w:r>
      <w:r>
        <w:rPr>
          <w:rFonts w:hint="eastAsia" w:cs="Times New Roman"/>
          <w:color w:val="auto"/>
          <w:highlight w:val="none"/>
        </w:rPr>
        <w:t>。</w:t>
      </w:r>
    </w:p>
    <w:p w14:paraId="52A3B4E1">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本项目不接受联合体投标。</w:t>
      </w:r>
    </w:p>
    <w:p w14:paraId="2567BF78">
      <w:pPr>
        <w:pStyle w:val="3"/>
        <w:spacing w:line="440" w:lineRule="exact"/>
        <w:ind w:left="0" w:firstLine="422" w:firstLineChars="200"/>
        <w:rPr>
          <w:rFonts w:ascii="宋体" w:hAnsi="宋体" w:cs="宋体"/>
          <w:b/>
          <w:bCs/>
          <w:sz w:val="21"/>
          <w:szCs w:val="21"/>
          <w:highlight w:val="none"/>
        </w:rPr>
      </w:pPr>
      <w:bookmarkStart w:id="10" w:name="_Toc28004"/>
      <w:bookmarkStart w:id="11" w:name="_Toc35393791"/>
      <w:bookmarkStart w:id="12" w:name="_Toc35393622"/>
      <w:bookmarkStart w:id="13" w:name="_Toc28359080"/>
      <w:bookmarkStart w:id="14" w:name="_Toc28359003"/>
      <w:r>
        <w:rPr>
          <w:rFonts w:hint="eastAsia" w:ascii="宋体" w:hAnsi="宋体" w:cs="宋体"/>
          <w:b/>
          <w:bCs/>
          <w:sz w:val="21"/>
          <w:szCs w:val="21"/>
          <w:highlight w:val="none"/>
        </w:rPr>
        <w:t>二、申请人的资格要求：</w:t>
      </w:r>
      <w:bookmarkEnd w:id="10"/>
      <w:bookmarkEnd w:id="11"/>
      <w:bookmarkEnd w:id="12"/>
      <w:bookmarkEnd w:id="13"/>
      <w:bookmarkEnd w:id="14"/>
    </w:p>
    <w:p w14:paraId="35BE8128">
      <w:pPr>
        <w:ind w:firstLine="480"/>
        <w:rPr>
          <w:color w:val="auto"/>
          <w:highlight w:val="none"/>
        </w:rPr>
      </w:pPr>
      <w:bookmarkStart w:id="15" w:name="_Toc28359004"/>
      <w:bookmarkStart w:id="16" w:name="_Toc28359081"/>
      <w:r>
        <w:rPr>
          <w:rFonts w:hint="eastAsia"/>
          <w:color w:val="auto"/>
          <w:highlight w:val="none"/>
        </w:rPr>
        <w:t>1、投标人资质要求：</w:t>
      </w:r>
    </w:p>
    <w:p w14:paraId="1E5DFD2C">
      <w:pPr>
        <w:ind w:firstLine="480"/>
        <w:rPr>
          <w:color w:val="auto"/>
          <w:highlight w:val="none"/>
        </w:rPr>
      </w:pPr>
      <w:r>
        <w:rPr>
          <w:rFonts w:hint="eastAsia"/>
          <w:color w:val="auto"/>
          <w:highlight w:val="none"/>
        </w:rPr>
        <w:t>（1）具有独立承担民事责任的能力；</w:t>
      </w:r>
    </w:p>
    <w:p w14:paraId="26C5B9F6">
      <w:pPr>
        <w:ind w:firstLine="480"/>
        <w:rPr>
          <w:rFonts w:hint="eastAsia"/>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）中国人民银行认可的评级机构</w:t>
      </w:r>
      <w:r>
        <w:rPr>
          <w:rFonts w:hint="eastAsia"/>
          <w:color w:val="auto"/>
          <w:highlight w:val="none"/>
          <w:lang w:eastAsia="zh-CN"/>
        </w:rPr>
        <w:t>（</w:t>
      </w:r>
      <w:r>
        <w:rPr>
          <w:rFonts w:hint="eastAsia"/>
          <w:color w:val="auto"/>
          <w:highlight w:val="none"/>
        </w:rPr>
        <w:t>需提供中国人民银行官方网站备案法人信用评级机构截图或批复</w:t>
      </w:r>
      <w:r>
        <w:rPr>
          <w:rFonts w:hint="eastAsia"/>
          <w:color w:val="auto"/>
          <w:highlight w:val="none"/>
          <w:lang w:eastAsia="zh-CN"/>
        </w:rPr>
        <w:t>）</w:t>
      </w:r>
      <w:r>
        <w:rPr>
          <w:rFonts w:hint="eastAsia"/>
          <w:color w:val="auto"/>
          <w:highlight w:val="none"/>
        </w:rPr>
        <w:t>；</w:t>
      </w:r>
    </w:p>
    <w:p w14:paraId="2D8B8CE6">
      <w:pPr>
        <w:ind w:firstLine="480"/>
        <w:rPr>
          <w:rFonts w:hint="eastAsia"/>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）中国证券监督管理委员会核准的从事评级业务的批复</w:t>
      </w:r>
      <w:r>
        <w:rPr>
          <w:rFonts w:hint="eastAsia"/>
          <w:color w:val="auto"/>
          <w:highlight w:val="none"/>
          <w:lang w:eastAsia="zh-CN"/>
        </w:rPr>
        <w:t>（</w:t>
      </w:r>
      <w:r>
        <w:rPr>
          <w:rFonts w:hint="eastAsia"/>
          <w:color w:val="auto"/>
          <w:highlight w:val="none"/>
        </w:rPr>
        <w:t>需提供中国证券监督管理委员会官方网站核准从事评级业务截图或批复</w:t>
      </w:r>
      <w:r>
        <w:rPr>
          <w:rFonts w:hint="eastAsia"/>
          <w:color w:val="auto"/>
          <w:highlight w:val="none"/>
          <w:lang w:eastAsia="zh-CN"/>
        </w:rPr>
        <w:t>）</w:t>
      </w:r>
      <w:r>
        <w:rPr>
          <w:rFonts w:hint="eastAsia"/>
          <w:color w:val="auto"/>
          <w:highlight w:val="none"/>
        </w:rPr>
        <w:t>。</w:t>
      </w:r>
    </w:p>
    <w:p w14:paraId="7E6FC20B">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2.信誉要求：投标人不得存在以下情形：</w:t>
      </w:r>
    </w:p>
    <w:p w14:paraId="7D8DA335">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①投标人被人民法院列入失信被执行人的；</w:t>
      </w:r>
    </w:p>
    <w:p w14:paraId="2589F32D">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②投标人或其法定代表人（分支机构负责人）前三年有行贿犯罪行为的；</w:t>
      </w:r>
    </w:p>
    <w:p w14:paraId="291B54D9">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③投标人被市场监督管理部门列入经营异常名录或者严重违法企业名单，且未被移除的；</w:t>
      </w:r>
    </w:p>
    <w:p w14:paraId="49679CA1">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④投标人被税务部门列入重大税收违法案件当事人的；</w:t>
      </w:r>
    </w:p>
    <w:p w14:paraId="50ACAB44">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⑤投标人被政府采购监管部门列入政府采购严重违法失信行为记录名单的；</w:t>
      </w:r>
    </w:p>
    <w:p w14:paraId="363E41F5">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⑥在“信用中国”网站上披露仍在公示期的严重失信行为的。</w:t>
      </w:r>
    </w:p>
    <w:p w14:paraId="3E953C78">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3.投标人所属分公司、办事处等分支机构存在第2条信誉要求①-⑥项情形之一的，接受投标人参加本项目。</w:t>
      </w:r>
    </w:p>
    <w:p w14:paraId="49DD0BD2">
      <w:pPr>
        <w:pStyle w:val="3"/>
        <w:spacing w:line="440" w:lineRule="exact"/>
        <w:ind w:left="0" w:firstLine="422" w:firstLineChars="200"/>
        <w:rPr>
          <w:rFonts w:ascii="宋体" w:hAnsi="宋体" w:cs="宋体"/>
          <w:b/>
          <w:bCs/>
          <w:sz w:val="21"/>
          <w:szCs w:val="21"/>
          <w:highlight w:val="none"/>
        </w:rPr>
      </w:pPr>
      <w:bookmarkStart w:id="17" w:name="_Toc2689"/>
      <w:bookmarkStart w:id="18" w:name="_Toc35393792"/>
      <w:bookmarkStart w:id="19" w:name="_Toc35393623"/>
      <w:r>
        <w:rPr>
          <w:rFonts w:hint="eastAsia" w:ascii="宋体" w:hAnsi="宋体" w:cs="宋体"/>
          <w:b/>
          <w:bCs/>
          <w:sz w:val="21"/>
          <w:szCs w:val="21"/>
          <w:highlight w:val="none"/>
        </w:rPr>
        <w:t>三、获取招标文件</w:t>
      </w:r>
      <w:bookmarkEnd w:id="15"/>
      <w:bookmarkEnd w:id="16"/>
      <w:bookmarkEnd w:id="17"/>
      <w:bookmarkEnd w:id="18"/>
      <w:bookmarkEnd w:id="19"/>
    </w:p>
    <w:p w14:paraId="7BB38CC3">
      <w:pPr>
        <w:spacing w:line="44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获取时间：</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u w:val="single"/>
        </w:rPr>
        <w:t>日</w:t>
      </w:r>
      <w:r>
        <w:rPr>
          <w:rFonts w:hint="eastAsia" w:ascii="宋体" w:hAnsi="宋体" w:cs="宋体"/>
          <w:color w:val="auto"/>
          <w:szCs w:val="21"/>
          <w:highlight w:val="none"/>
        </w:rPr>
        <w:t>至</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13</w:t>
      </w:r>
      <w:r>
        <w:rPr>
          <w:rFonts w:hint="eastAsia" w:ascii="宋体" w:hAnsi="宋体" w:cs="宋体"/>
          <w:color w:val="auto"/>
          <w:szCs w:val="21"/>
          <w:highlight w:val="none"/>
          <w:u w:val="single"/>
        </w:rPr>
        <w:t>日</w:t>
      </w:r>
      <w:r>
        <w:rPr>
          <w:rFonts w:hint="eastAsia" w:ascii="宋体" w:hAnsi="宋体" w:cs="宋体"/>
          <w:bCs/>
          <w:color w:val="auto"/>
          <w:szCs w:val="21"/>
          <w:highlight w:val="none"/>
          <w:u w:val="single"/>
        </w:rPr>
        <w:t>1</w:t>
      </w:r>
      <w:r>
        <w:rPr>
          <w:rFonts w:hint="eastAsia" w:ascii="宋体" w:hAnsi="宋体" w:cs="宋体"/>
          <w:bCs/>
          <w:color w:val="auto"/>
          <w:szCs w:val="21"/>
          <w:highlight w:val="none"/>
          <w:u w:val="single"/>
          <w:lang w:val="en-US" w:eastAsia="zh-CN"/>
        </w:rPr>
        <w:t>7</w:t>
      </w:r>
      <w:r>
        <w:rPr>
          <w:rFonts w:hint="eastAsia" w:ascii="宋体" w:hAnsi="宋体" w:cs="宋体"/>
          <w:bCs/>
          <w:color w:val="auto"/>
          <w:szCs w:val="21"/>
          <w:highlight w:val="none"/>
          <w:u w:val="single"/>
        </w:rPr>
        <w:t>点</w:t>
      </w:r>
      <w:r>
        <w:rPr>
          <w:rFonts w:hint="eastAsia" w:ascii="宋体" w:hAnsi="宋体" w:cs="宋体"/>
          <w:bCs/>
          <w:color w:val="auto"/>
          <w:szCs w:val="21"/>
          <w:highlight w:val="none"/>
          <w:u w:val="single"/>
          <w:lang w:val="en-US" w:eastAsia="zh-CN"/>
        </w:rPr>
        <w:t>3</w:t>
      </w:r>
      <w:r>
        <w:rPr>
          <w:rFonts w:hint="eastAsia" w:ascii="宋体" w:hAnsi="宋体" w:cs="宋体"/>
          <w:bCs/>
          <w:color w:val="auto"/>
          <w:szCs w:val="21"/>
          <w:highlight w:val="none"/>
          <w:u w:val="single"/>
        </w:rPr>
        <w:t>0分</w:t>
      </w:r>
    </w:p>
    <w:p w14:paraId="27B018FC">
      <w:pPr>
        <w:spacing w:line="44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地点：“庐阳国</w:t>
      </w:r>
      <w:r>
        <w:rPr>
          <w:rFonts w:hint="eastAsia" w:ascii="宋体" w:hAnsi="宋体" w:cs="宋体"/>
          <w:color w:val="auto"/>
          <w:szCs w:val="21"/>
          <w:highlight w:val="none"/>
          <w:lang w:val="en-US" w:eastAsia="zh-CN"/>
        </w:rPr>
        <w:t>控</w:t>
      </w:r>
      <w:r>
        <w:rPr>
          <w:rFonts w:hint="eastAsia" w:ascii="宋体" w:hAnsi="宋体" w:cs="宋体"/>
          <w:color w:val="auto"/>
          <w:szCs w:val="21"/>
          <w:highlight w:val="none"/>
        </w:rPr>
        <w:t>集团”</w:t>
      </w:r>
      <w:r>
        <w:rPr>
          <w:rFonts w:hint="eastAsia" w:ascii="宋体" w:hAnsi="宋体" w:cs="宋体"/>
          <w:color w:val="auto"/>
          <w:szCs w:val="21"/>
          <w:highlight w:val="none"/>
          <w:lang w:eastAsia="zh-CN"/>
        </w:rPr>
        <w:t>官方网站</w:t>
      </w:r>
    </w:p>
    <w:p w14:paraId="0B9E8EF2">
      <w:pPr>
        <w:pStyle w:val="3"/>
        <w:spacing w:line="440" w:lineRule="exact"/>
        <w:ind w:left="0" w:firstLine="422" w:firstLineChars="200"/>
        <w:rPr>
          <w:rFonts w:ascii="宋体" w:hAnsi="宋体" w:cs="宋体"/>
          <w:b/>
          <w:bCs/>
          <w:sz w:val="21"/>
          <w:szCs w:val="21"/>
          <w:highlight w:val="none"/>
        </w:rPr>
      </w:pPr>
      <w:bookmarkStart w:id="20" w:name="_Toc28359082"/>
      <w:bookmarkStart w:id="21" w:name="_Toc28359005"/>
      <w:bookmarkStart w:id="22" w:name="_Toc35393793"/>
      <w:bookmarkStart w:id="23" w:name="_Toc23486"/>
      <w:bookmarkStart w:id="24" w:name="_Toc35393624"/>
      <w:r>
        <w:rPr>
          <w:rFonts w:hint="eastAsia" w:ascii="宋体" w:hAnsi="宋体" w:cs="宋体"/>
          <w:b/>
          <w:bCs/>
          <w:sz w:val="21"/>
          <w:szCs w:val="21"/>
          <w:highlight w:val="none"/>
        </w:rPr>
        <w:t>四、提交投标文件</w:t>
      </w:r>
      <w:bookmarkEnd w:id="20"/>
      <w:bookmarkEnd w:id="21"/>
      <w:r>
        <w:rPr>
          <w:rFonts w:hint="eastAsia" w:ascii="宋体" w:hAnsi="宋体" w:cs="宋体"/>
          <w:b/>
          <w:bCs/>
          <w:sz w:val="21"/>
          <w:szCs w:val="21"/>
          <w:highlight w:val="none"/>
        </w:rPr>
        <w:t>截止时间、开标时间、地点</w:t>
      </w:r>
      <w:bookmarkEnd w:id="22"/>
      <w:bookmarkEnd w:id="23"/>
      <w:bookmarkEnd w:id="24"/>
      <w:r>
        <w:rPr>
          <w:rFonts w:hint="eastAsia" w:ascii="宋体" w:hAnsi="宋体" w:cs="宋体"/>
          <w:b/>
          <w:bCs/>
          <w:sz w:val="21"/>
          <w:szCs w:val="21"/>
          <w:highlight w:val="none"/>
        </w:rPr>
        <w:t>和项目联系方式</w:t>
      </w:r>
    </w:p>
    <w:p w14:paraId="4D4BDB4B">
      <w:pPr>
        <w:spacing w:line="440" w:lineRule="exact"/>
        <w:ind w:firstLine="420" w:firstLineChars="200"/>
        <w:rPr>
          <w:rFonts w:ascii="宋体" w:hAnsi="宋体" w:cs="宋体"/>
          <w:bCs/>
          <w:color w:val="auto"/>
          <w:szCs w:val="21"/>
          <w:highlight w:val="none"/>
          <w:u w:val="single"/>
        </w:rPr>
      </w:pPr>
      <w:r>
        <w:rPr>
          <w:rFonts w:hint="eastAsia" w:ascii="宋体" w:hAnsi="宋体" w:cs="宋体"/>
          <w:color w:val="auto"/>
          <w:szCs w:val="21"/>
          <w:highlight w:val="none"/>
        </w:rPr>
        <w:t>时间：</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年</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14</w:t>
      </w:r>
      <w:r>
        <w:rPr>
          <w:rFonts w:hint="eastAsia" w:ascii="宋体" w:hAnsi="宋体" w:cs="宋体"/>
          <w:color w:val="auto"/>
          <w:szCs w:val="21"/>
          <w:highlight w:val="none"/>
          <w:u w:val="single"/>
        </w:rPr>
        <w:t>日</w:t>
      </w:r>
      <w:r>
        <w:rPr>
          <w:rFonts w:hint="eastAsia" w:ascii="宋体" w:hAnsi="宋体" w:cs="宋体"/>
          <w:bCs/>
          <w:color w:val="auto"/>
          <w:szCs w:val="21"/>
          <w:highlight w:val="none"/>
          <w:u w:val="single"/>
        </w:rPr>
        <w:t>1</w:t>
      </w:r>
      <w:r>
        <w:rPr>
          <w:rFonts w:hint="eastAsia" w:ascii="宋体" w:hAnsi="宋体" w:cs="宋体"/>
          <w:bCs/>
          <w:color w:val="auto"/>
          <w:szCs w:val="21"/>
          <w:highlight w:val="none"/>
          <w:u w:val="single"/>
          <w:lang w:val="en-US" w:eastAsia="zh-CN"/>
        </w:rPr>
        <w:t>4</w:t>
      </w:r>
      <w:r>
        <w:rPr>
          <w:rFonts w:hint="eastAsia" w:ascii="宋体" w:hAnsi="宋体" w:cs="宋体"/>
          <w:bCs/>
          <w:color w:val="auto"/>
          <w:szCs w:val="21"/>
          <w:highlight w:val="none"/>
          <w:u w:val="single"/>
        </w:rPr>
        <w:t>点00分</w:t>
      </w:r>
      <w:r>
        <w:rPr>
          <w:rFonts w:hint="eastAsia" w:ascii="宋体" w:hAnsi="宋体" w:cs="宋体"/>
          <w:bCs/>
          <w:color w:val="auto"/>
          <w:szCs w:val="21"/>
          <w:highlight w:val="none"/>
        </w:rPr>
        <w:t>（北京时间）</w:t>
      </w:r>
    </w:p>
    <w:p w14:paraId="54D10DCE">
      <w:pPr>
        <w:spacing w:line="44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地点：</w:t>
      </w:r>
      <w:bookmarkStart w:id="25" w:name="OLE_LINK9"/>
      <w:bookmarkStart w:id="26" w:name="OLE_LINK10"/>
      <w:r>
        <w:rPr>
          <w:rFonts w:hint="eastAsia" w:ascii="宋体" w:hAnsi="宋体" w:cs="宋体"/>
          <w:color w:val="auto"/>
          <w:szCs w:val="21"/>
          <w:highlight w:val="none"/>
          <w:u w:val="single"/>
        </w:rPr>
        <w:t>安徽省合肥市庐阳区阜阳北路与龙潭桥路交口文一泊心湾S1栋3楼32</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u w:val="single"/>
        </w:rPr>
        <w:t>室</w:t>
      </w:r>
      <w:bookmarkEnd w:id="25"/>
      <w:bookmarkEnd w:id="26"/>
    </w:p>
    <w:p w14:paraId="03CA4DFD">
      <w:pPr>
        <w:spacing w:line="440" w:lineRule="exact"/>
        <w:ind w:firstLine="420" w:firstLineChars="200"/>
        <w:jc w:val="left"/>
        <w:rPr>
          <w:rFonts w:hint="eastAsia" w:ascii="宋体" w:hAnsi="宋体" w:eastAsia="宋体" w:cs="宋体"/>
          <w:color w:val="auto"/>
          <w:szCs w:val="21"/>
          <w:highlight w:val="none"/>
          <w:u w:val="single"/>
          <w:lang w:val="en-US" w:eastAsia="zh-CN"/>
        </w:rPr>
      </w:pPr>
      <w:r>
        <w:rPr>
          <w:rFonts w:hint="eastAsia" w:ascii="宋体" w:hAnsi="宋体" w:cs="宋体"/>
          <w:color w:val="auto"/>
          <w:szCs w:val="21"/>
          <w:highlight w:val="none"/>
        </w:rPr>
        <w:t>联系方式：</w:t>
      </w:r>
      <w:r>
        <w:rPr>
          <w:rFonts w:hint="eastAsia" w:ascii="宋体" w:hAnsi="宋体" w:cs="宋体"/>
          <w:color w:val="auto"/>
          <w:szCs w:val="21"/>
          <w:highlight w:val="none"/>
          <w:lang w:val="en-US" w:eastAsia="zh-CN"/>
        </w:rPr>
        <w:t>孙</w:t>
      </w:r>
      <w:r>
        <w:rPr>
          <w:rFonts w:hint="eastAsia" w:ascii="宋体" w:hAnsi="宋体" w:cs="宋体"/>
          <w:color w:val="auto"/>
          <w:szCs w:val="21"/>
          <w:highlight w:val="none"/>
        </w:rPr>
        <w:t>经理  0551-6266828</w:t>
      </w:r>
      <w:r>
        <w:rPr>
          <w:rFonts w:hint="eastAsia" w:ascii="宋体" w:hAnsi="宋体" w:cs="宋体"/>
          <w:color w:val="auto"/>
          <w:szCs w:val="21"/>
          <w:highlight w:val="none"/>
          <w:lang w:val="en-US" w:eastAsia="zh-CN"/>
        </w:rPr>
        <w:t>0</w:t>
      </w:r>
    </w:p>
    <w:p w14:paraId="249C58F1">
      <w:pPr>
        <w:spacing w:line="440" w:lineRule="exact"/>
        <w:ind w:firstLine="422" w:firstLineChars="200"/>
        <w:rPr>
          <w:rFonts w:ascii="宋体" w:hAnsi="宋体" w:cs="宋体"/>
          <w:b/>
          <w:color w:val="auto"/>
          <w:szCs w:val="21"/>
          <w:highlight w:val="none"/>
        </w:rPr>
      </w:pPr>
      <w:bookmarkStart w:id="27" w:name="_Toc28359084"/>
      <w:bookmarkStart w:id="28" w:name="_Toc1913"/>
      <w:bookmarkStart w:id="29" w:name="_Toc28359007"/>
      <w:bookmarkStart w:id="30" w:name="_Toc35393794"/>
      <w:bookmarkStart w:id="31" w:name="_Toc35393625"/>
      <w:r>
        <w:rPr>
          <w:rFonts w:hint="eastAsia" w:ascii="宋体" w:hAnsi="宋体" w:cs="宋体"/>
          <w:b/>
          <w:bCs/>
          <w:szCs w:val="21"/>
          <w:highlight w:val="none"/>
        </w:rPr>
        <w:t>五、</w:t>
      </w:r>
      <w:bookmarkEnd w:id="27"/>
      <w:bookmarkEnd w:id="28"/>
      <w:bookmarkEnd w:id="29"/>
      <w:bookmarkEnd w:id="30"/>
      <w:bookmarkEnd w:id="31"/>
      <w:r>
        <w:rPr>
          <w:rFonts w:hint="eastAsia" w:ascii="宋体" w:hAnsi="宋体" w:cs="宋体"/>
          <w:b/>
          <w:color w:val="auto"/>
          <w:szCs w:val="21"/>
          <w:highlight w:val="none"/>
        </w:rPr>
        <w:t>投标保证金金额及缴纳账户</w:t>
      </w:r>
    </w:p>
    <w:p w14:paraId="63D84435">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是否要求投标单位提交投标保证金：不要求。</w:t>
      </w:r>
    </w:p>
    <w:p w14:paraId="6DB8FB15">
      <w:pPr>
        <w:spacing w:line="240" w:lineRule="auto"/>
        <w:jc w:val="center"/>
        <w:outlineLvl w:val="0"/>
        <w:rPr>
          <w:rFonts w:ascii="宋体" w:hAnsi="宋体"/>
          <w:b/>
          <w:bCs/>
          <w:color w:val="auto"/>
          <w:sz w:val="32"/>
          <w:highlight w:val="none"/>
        </w:rPr>
      </w:pPr>
      <w:bookmarkStart w:id="32" w:name="_Toc26271"/>
    </w:p>
    <w:p w14:paraId="09C7C18E">
      <w:pPr>
        <w:spacing w:line="240" w:lineRule="auto"/>
        <w:jc w:val="center"/>
        <w:outlineLvl w:val="0"/>
        <w:rPr>
          <w:rFonts w:ascii="宋体" w:hAnsi="宋体"/>
          <w:b/>
          <w:bCs/>
          <w:color w:val="auto"/>
          <w:sz w:val="32"/>
          <w:highlight w:val="none"/>
        </w:rPr>
      </w:pPr>
    </w:p>
    <w:p w14:paraId="6B907726">
      <w:pPr>
        <w:spacing w:line="240" w:lineRule="auto"/>
        <w:jc w:val="center"/>
        <w:outlineLvl w:val="0"/>
        <w:rPr>
          <w:rFonts w:ascii="宋体" w:hAnsi="宋体"/>
          <w:b/>
          <w:bCs/>
          <w:color w:val="auto"/>
          <w:sz w:val="32"/>
          <w:highlight w:val="none"/>
        </w:rPr>
      </w:pPr>
    </w:p>
    <w:p w14:paraId="0A17E235">
      <w:pPr>
        <w:spacing w:line="240" w:lineRule="auto"/>
        <w:jc w:val="center"/>
        <w:outlineLvl w:val="0"/>
        <w:rPr>
          <w:rFonts w:ascii="宋体" w:hAnsi="宋体"/>
          <w:b/>
          <w:bCs/>
          <w:color w:val="auto"/>
          <w:sz w:val="32"/>
          <w:highlight w:val="none"/>
        </w:rPr>
      </w:pPr>
    </w:p>
    <w:p w14:paraId="16EB509A">
      <w:pPr>
        <w:spacing w:line="240" w:lineRule="auto"/>
        <w:jc w:val="center"/>
        <w:outlineLvl w:val="0"/>
        <w:rPr>
          <w:rFonts w:ascii="宋体" w:hAnsi="宋体"/>
          <w:b/>
          <w:bCs/>
          <w:color w:val="auto"/>
          <w:sz w:val="32"/>
          <w:highlight w:val="none"/>
        </w:rPr>
      </w:pPr>
    </w:p>
    <w:p w14:paraId="5178A31E">
      <w:pPr>
        <w:spacing w:line="240" w:lineRule="auto"/>
        <w:jc w:val="center"/>
        <w:outlineLvl w:val="0"/>
        <w:rPr>
          <w:rFonts w:ascii="宋体" w:hAnsi="宋体"/>
          <w:b/>
          <w:bCs/>
          <w:color w:val="auto"/>
          <w:sz w:val="32"/>
          <w:highlight w:val="none"/>
        </w:rPr>
      </w:pPr>
    </w:p>
    <w:p w14:paraId="396FF6DA">
      <w:pPr>
        <w:spacing w:line="240" w:lineRule="auto"/>
        <w:jc w:val="center"/>
        <w:outlineLvl w:val="0"/>
        <w:rPr>
          <w:rFonts w:ascii="宋体" w:hAnsi="宋体"/>
          <w:b/>
          <w:bCs/>
          <w:color w:val="auto"/>
          <w:sz w:val="32"/>
          <w:highlight w:val="none"/>
        </w:rPr>
      </w:pPr>
    </w:p>
    <w:p w14:paraId="02E8E443">
      <w:pPr>
        <w:spacing w:line="240" w:lineRule="auto"/>
        <w:jc w:val="center"/>
        <w:outlineLvl w:val="0"/>
        <w:rPr>
          <w:rFonts w:ascii="宋体" w:hAnsi="宋体"/>
          <w:b/>
          <w:bCs/>
          <w:color w:val="auto"/>
          <w:sz w:val="32"/>
          <w:highlight w:val="none"/>
        </w:rPr>
      </w:pPr>
    </w:p>
    <w:p w14:paraId="5677D150">
      <w:pPr>
        <w:spacing w:line="240" w:lineRule="auto"/>
        <w:jc w:val="center"/>
        <w:outlineLvl w:val="0"/>
        <w:rPr>
          <w:rFonts w:ascii="宋体" w:hAnsi="宋体"/>
          <w:b/>
          <w:bCs/>
          <w:color w:val="auto"/>
          <w:sz w:val="32"/>
          <w:highlight w:val="none"/>
        </w:rPr>
      </w:pPr>
    </w:p>
    <w:p w14:paraId="66321A03">
      <w:pPr>
        <w:spacing w:line="240" w:lineRule="auto"/>
        <w:jc w:val="center"/>
        <w:outlineLvl w:val="0"/>
        <w:rPr>
          <w:rFonts w:ascii="宋体" w:hAnsi="宋体"/>
          <w:b/>
          <w:bCs/>
          <w:color w:val="auto"/>
          <w:sz w:val="32"/>
          <w:highlight w:val="none"/>
        </w:rPr>
      </w:pPr>
    </w:p>
    <w:p w14:paraId="1A179AFF">
      <w:pPr>
        <w:spacing w:line="240" w:lineRule="auto"/>
        <w:jc w:val="center"/>
        <w:outlineLvl w:val="0"/>
        <w:rPr>
          <w:rFonts w:ascii="宋体" w:hAnsi="宋体"/>
          <w:b/>
          <w:bCs/>
          <w:color w:val="auto"/>
          <w:sz w:val="32"/>
          <w:highlight w:val="none"/>
        </w:rPr>
      </w:pPr>
    </w:p>
    <w:p w14:paraId="6BA84442">
      <w:pPr>
        <w:spacing w:line="240" w:lineRule="auto"/>
        <w:jc w:val="center"/>
        <w:outlineLvl w:val="0"/>
        <w:rPr>
          <w:rFonts w:ascii="宋体" w:hAnsi="宋体"/>
          <w:b/>
          <w:bCs/>
          <w:color w:val="auto"/>
          <w:sz w:val="32"/>
          <w:highlight w:val="none"/>
        </w:rPr>
      </w:pPr>
    </w:p>
    <w:p w14:paraId="64FFDA67">
      <w:pPr>
        <w:spacing w:line="240" w:lineRule="auto"/>
        <w:jc w:val="center"/>
        <w:outlineLvl w:val="0"/>
        <w:rPr>
          <w:rFonts w:ascii="宋体" w:hAnsi="宋体"/>
          <w:b/>
          <w:bCs/>
          <w:color w:val="auto"/>
          <w:sz w:val="32"/>
          <w:highlight w:val="none"/>
        </w:rPr>
      </w:pPr>
    </w:p>
    <w:p w14:paraId="73EBFCC5">
      <w:pPr>
        <w:spacing w:line="240" w:lineRule="auto"/>
        <w:jc w:val="center"/>
        <w:outlineLvl w:val="0"/>
        <w:rPr>
          <w:rFonts w:ascii="宋体" w:hAnsi="宋体"/>
          <w:b/>
          <w:bCs/>
          <w:color w:val="auto"/>
          <w:sz w:val="32"/>
          <w:highlight w:val="none"/>
        </w:rPr>
      </w:pPr>
    </w:p>
    <w:p w14:paraId="2291B4ED">
      <w:pPr>
        <w:spacing w:line="240" w:lineRule="auto"/>
        <w:jc w:val="center"/>
        <w:outlineLvl w:val="0"/>
        <w:rPr>
          <w:rFonts w:ascii="宋体" w:hAnsi="宋体"/>
          <w:b/>
          <w:bCs/>
          <w:color w:val="auto"/>
          <w:sz w:val="32"/>
          <w:highlight w:val="none"/>
        </w:rPr>
      </w:pPr>
    </w:p>
    <w:p w14:paraId="64AD7E1B">
      <w:pPr>
        <w:spacing w:line="240" w:lineRule="auto"/>
        <w:jc w:val="center"/>
        <w:outlineLvl w:val="0"/>
        <w:rPr>
          <w:rFonts w:ascii="宋体" w:hAnsi="宋体"/>
          <w:b/>
          <w:bCs/>
          <w:color w:val="auto"/>
          <w:sz w:val="32"/>
          <w:highlight w:val="none"/>
        </w:rPr>
      </w:pPr>
    </w:p>
    <w:p w14:paraId="43468DA4">
      <w:pPr>
        <w:spacing w:line="240" w:lineRule="auto"/>
        <w:jc w:val="center"/>
        <w:outlineLvl w:val="0"/>
        <w:rPr>
          <w:rFonts w:ascii="宋体" w:hAnsi="宋体"/>
          <w:b/>
          <w:bCs/>
          <w:color w:val="auto"/>
          <w:sz w:val="32"/>
          <w:highlight w:val="none"/>
        </w:rPr>
      </w:pPr>
    </w:p>
    <w:p w14:paraId="0122C89C">
      <w:pPr>
        <w:spacing w:line="240" w:lineRule="auto"/>
        <w:jc w:val="center"/>
        <w:outlineLvl w:val="0"/>
        <w:rPr>
          <w:rFonts w:ascii="宋体" w:hAnsi="宋体"/>
          <w:b/>
          <w:bCs/>
          <w:color w:val="auto"/>
          <w:sz w:val="32"/>
          <w:highlight w:val="none"/>
        </w:rPr>
      </w:pPr>
    </w:p>
    <w:p w14:paraId="6CBB7212">
      <w:pPr>
        <w:spacing w:line="240" w:lineRule="auto"/>
        <w:jc w:val="center"/>
        <w:outlineLvl w:val="0"/>
        <w:rPr>
          <w:rFonts w:ascii="宋体" w:hAnsi="宋体"/>
          <w:b/>
          <w:bCs/>
          <w:color w:val="auto"/>
          <w:sz w:val="32"/>
          <w:highlight w:val="none"/>
        </w:rPr>
      </w:pPr>
    </w:p>
    <w:p w14:paraId="0E5E50E9">
      <w:pPr>
        <w:spacing w:line="240" w:lineRule="auto"/>
        <w:jc w:val="center"/>
        <w:outlineLvl w:val="0"/>
        <w:rPr>
          <w:rFonts w:ascii="宋体" w:hAnsi="宋体"/>
          <w:b/>
          <w:bCs/>
          <w:color w:val="auto"/>
          <w:sz w:val="32"/>
          <w:highlight w:val="none"/>
        </w:rPr>
      </w:pPr>
    </w:p>
    <w:p w14:paraId="6785DC4C">
      <w:pPr>
        <w:pStyle w:val="25"/>
        <w:ind w:firstLine="420"/>
        <w:rPr>
          <w:highlight w:val="none"/>
        </w:rPr>
      </w:pPr>
    </w:p>
    <w:p w14:paraId="013C6029">
      <w:pPr>
        <w:spacing w:line="240" w:lineRule="auto"/>
        <w:jc w:val="center"/>
        <w:outlineLvl w:val="0"/>
        <w:rPr>
          <w:rFonts w:ascii="宋体" w:hAnsi="宋体"/>
          <w:b/>
          <w:bCs/>
          <w:color w:val="auto"/>
          <w:sz w:val="32"/>
          <w:highlight w:val="none"/>
        </w:rPr>
      </w:pPr>
      <w:r>
        <w:rPr>
          <w:rFonts w:hint="eastAsia" w:ascii="宋体" w:hAnsi="宋体"/>
          <w:b/>
          <w:bCs/>
          <w:color w:val="auto"/>
          <w:sz w:val="32"/>
          <w:highlight w:val="none"/>
        </w:rPr>
        <w:t>第二章 投标人须知</w:t>
      </w:r>
      <w:bookmarkEnd w:id="32"/>
    </w:p>
    <w:p w14:paraId="111523FA">
      <w:pPr>
        <w:widowControl w:val="0"/>
        <w:snapToGrid w:val="0"/>
        <w:spacing w:beforeLines="100" w:afterLines="100" w:line="500" w:lineRule="exact"/>
        <w:jc w:val="center"/>
        <w:outlineLvl w:val="0"/>
        <w:rPr>
          <w:rFonts w:ascii="宋体" w:hAnsi="宋体"/>
          <w:b/>
          <w:color w:val="auto"/>
          <w:sz w:val="28"/>
          <w:szCs w:val="28"/>
          <w:highlight w:val="none"/>
        </w:rPr>
      </w:pPr>
      <w:bookmarkStart w:id="33" w:name="_Toc10248"/>
      <w:bookmarkStart w:id="34" w:name="_Toc5161"/>
      <w:r>
        <w:rPr>
          <w:rFonts w:hint="eastAsia" w:ascii="宋体" w:hAnsi="宋体"/>
          <w:b/>
          <w:color w:val="auto"/>
          <w:sz w:val="32"/>
          <w:szCs w:val="32"/>
          <w:highlight w:val="none"/>
        </w:rPr>
        <w:t>一、</w:t>
      </w:r>
      <w:r>
        <w:rPr>
          <w:rFonts w:hint="eastAsia" w:ascii="宋体" w:hAnsi="宋体"/>
          <w:b/>
          <w:color w:val="auto"/>
          <w:sz w:val="28"/>
          <w:szCs w:val="28"/>
          <w:highlight w:val="none"/>
        </w:rPr>
        <w:t>投标人须知前附表</w:t>
      </w:r>
      <w:bookmarkEnd w:id="33"/>
      <w:bookmarkEnd w:id="34"/>
    </w:p>
    <w:tbl>
      <w:tblPr>
        <w:tblStyle w:val="26"/>
        <w:tblW w:w="9562"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00"/>
        <w:gridCol w:w="2129"/>
        <w:gridCol w:w="6433"/>
      </w:tblGrid>
      <w:tr w14:paraId="63511DA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811" w:hRule="atLeast"/>
          <w:jc w:val="center"/>
        </w:trPr>
        <w:tc>
          <w:tcPr>
            <w:tcW w:w="1000" w:type="dxa"/>
            <w:vAlign w:val="center"/>
          </w:tcPr>
          <w:p w14:paraId="7E4EB12F">
            <w:pPr>
              <w:pStyle w:val="12"/>
              <w:spacing w:line="312" w:lineRule="auto"/>
              <w:jc w:val="center"/>
              <w:rPr>
                <w:rFonts w:hAnsi="宋体"/>
                <w:b/>
                <w:sz w:val="24"/>
                <w:szCs w:val="24"/>
                <w:highlight w:val="none"/>
              </w:rPr>
            </w:pPr>
            <w:r>
              <w:rPr>
                <w:rFonts w:hint="eastAsia" w:hAnsi="宋体"/>
                <w:b/>
                <w:sz w:val="24"/>
                <w:szCs w:val="24"/>
                <w:highlight w:val="none"/>
              </w:rPr>
              <w:t>条款号</w:t>
            </w:r>
          </w:p>
        </w:tc>
        <w:tc>
          <w:tcPr>
            <w:tcW w:w="2129" w:type="dxa"/>
            <w:vAlign w:val="center"/>
          </w:tcPr>
          <w:p w14:paraId="5DEA3419">
            <w:pPr>
              <w:pStyle w:val="12"/>
              <w:spacing w:line="312" w:lineRule="auto"/>
              <w:jc w:val="center"/>
              <w:rPr>
                <w:rFonts w:hAnsi="宋体"/>
                <w:b/>
                <w:sz w:val="24"/>
                <w:szCs w:val="24"/>
                <w:highlight w:val="none"/>
              </w:rPr>
            </w:pPr>
            <w:r>
              <w:rPr>
                <w:rFonts w:hint="eastAsia" w:hAnsi="宋体"/>
                <w:b/>
                <w:sz w:val="24"/>
                <w:szCs w:val="24"/>
                <w:highlight w:val="none"/>
              </w:rPr>
              <w:t>内容</w:t>
            </w:r>
          </w:p>
        </w:tc>
        <w:tc>
          <w:tcPr>
            <w:tcW w:w="6433" w:type="dxa"/>
            <w:vAlign w:val="center"/>
          </w:tcPr>
          <w:p w14:paraId="0F07C024">
            <w:pPr>
              <w:pStyle w:val="12"/>
              <w:spacing w:line="312" w:lineRule="auto"/>
              <w:jc w:val="center"/>
              <w:rPr>
                <w:rFonts w:hAnsi="宋体"/>
                <w:b/>
                <w:sz w:val="24"/>
                <w:szCs w:val="24"/>
                <w:highlight w:val="none"/>
              </w:rPr>
            </w:pPr>
            <w:r>
              <w:rPr>
                <w:rFonts w:hint="eastAsia" w:hAnsi="宋体"/>
                <w:b/>
                <w:sz w:val="24"/>
                <w:szCs w:val="24"/>
                <w:highlight w:val="none"/>
              </w:rPr>
              <w:t>说明与要求</w:t>
            </w:r>
          </w:p>
        </w:tc>
      </w:tr>
      <w:tr w14:paraId="49CDA17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1000" w:type="dxa"/>
            <w:vAlign w:val="center"/>
          </w:tcPr>
          <w:p w14:paraId="4D6C3EA3">
            <w:pPr>
              <w:pStyle w:val="12"/>
              <w:spacing w:line="312" w:lineRule="auto"/>
              <w:jc w:val="center"/>
              <w:rPr>
                <w:rFonts w:hAnsi="宋体"/>
                <w:szCs w:val="21"/>
                <w:highlight w:val="none"/>
              </w:rPr>
            </w:pPr>
            <w:r>
              <w:rPr>
                <w:rFonts w:hint="eastAsia" w:hAnsi="宋体"/>
                <w:szCs w:val="21"/>
                <w:highlight w:val="none"/>
              </w:rPr>
              <w:t>1.1</w:t>
            </w:r>
          </w:p>
        </w:tc>
        <w:tc>
          <w:tcPr>
            <w:tcW w:w="2129" w:type="dxa"/>
            <w:vAlign w:val="center"/>
          </w:tcPr>
          <w:p w14:paraId="46FE74E2">
            <w:pPr>
              <w:spacing w:line="312" w:lineRule="auto"/>
              <w:rPr>
                <w:rFonts w:ascii="宋体" w:hAnsi="宋体"/>
                <w:color w:val="auto"/>
                <w:szCs w:val="21"/>
                <w:highlight w:val="none"/>
              </w:rPr>
            </w:pPr>
            <w:r>
              <w:rPr>
                <w:rFonts w:hint="eastAsia" w:ascii="宋体" w:hAnsi="宋体"/>
                <w:color w:val="auto"/>
                <w:szCs w:val="21"/>
                <w:highlight w:val="none"/>
              </w:rPr>
              <w:t>项目名称</w:t>
            </w:r>
          </w:p>
        </w:tc>
        <w:tc>
          <w:tcPr>
            <w:tcW w:w="6433" w:type="dxa"/>
            <w:vAlign w:val="center"/>
          </w:tcPr>
          <w:p w14:paraId="6B952075">
            <w:pPr>
              <w:spacing w:line="312" w:lineRule="auto"/>
              <w:rPr>
                <w:rFonts w:ascii="宋体" w:hAnsi="宋体"/>
                <w:color w:val="auto"/>
                <w:szCs w:val="21"/>
                <w:highlight w:val="none"/>
                <w:u w:val="none" w:color="auto"/>
              </w:rPr>
            </w:pPr>
            <w:r>
              <w:rPr>
                <w:rFonts w:hint="eastAsia" w:ascii="宋体" w:hAnsi="宋体" w:cs="宋体"/>
                <w:color w:val="auto"/>
                <w:szCs w:val="21"/>
                <w:highlight w:val="none"/>
                <w:u w:val="none" w:color="auto"/>
              </w:rPr>
              <w:t>合肥庐阳国有资</w:t>
            </w:r>
            <w:r>
              <w:rPr>
                <w:rFonts w:hint="eastAsia" w:ascii="宋体" w:hAnsi="宋体" w:cs="宋体"/>
                <w:color w:val="auto"/>
                <w:szCs w:val="21"/>
                <w:highlight w:val="none"/>
                <w:u w:val="none" w:color="auto"/>
                <w:lang w:val="en-US" w:eastAsia="zh-CN"/>
              </w:rPr>
              <w:t>本</w:t>
            </w:r>
            <w:r>
              <w:rPr>
                <w:rFonts w:hint="eastAsia" w:ascii="宋体" w:hAnsi="宋体" w:cs="宋体"/>
                <w:color w:val="auto"/>
                <w:szCs w:val="21"/>
                <w:highlight w:val="none"/>
                <w:u w:val="none" w:color="auto"/>
              </w:rPr>
              <w:t>控股集团有限公司202</w:t>
            </w:r>
            <w:r>
              <w:rPr>
                <w:rFonts w:hint="eastAsia" w:ascii="宋体" w:hAnsi="宋体" w:cs="宋体"/>
                <w:color w:val="auto"/>
                <w:szCs w:val="21"/>
                <w:highlight w:val="none"/>
                <w:u w:val="none" w:color="auto"/>
                <w:lang w:val="en-US" w:eastAsia="zh-CN"/>
              </w:rPr>
              <w:t>6</w:t>
            </w:r>
            <w:r>
              <w:rPr>
                <w:rFonts w:hint="eastAsia" w:ascii="宋体" w:hAnsi="宋体" w:cs="宋体"/>
                <w:color w:val="auto"/>
                <w:szCs w:val="21"/>
                <w:highlight w:val="none"/>
                <w:u w:val="none" w:color="auto"/>
              </w:rPr>
              <w:t>年度主体信用评级项目</w:t>
            </w:r>
          </w:p>
        </w:tc>
      </w:tr>
      <w:tr w14:paraId="443C0A2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1000" w:type="dxa"/>
            <w:vAlign w:val="center"/>
          </w:tcPr>
          <w:p w14:paraId="4C29D01A">
            <w:pPr>
              <w:pStyle w:val="12"/>
              <w:spacing w:line="312" w:lineRule="auto"/>
              <w:jc w:val="center"/>
              <w:rPr>
                <w:rFonts w:hAnsi="宋体"/>
                <w:szCs w:val="21"/>
                <w:highlight w:val="none"/>
              </w:rPr>
            </w:pPr>
            <w:r>
              <w:rPr>
                <w:rFonts w:hint="eastAsia" w:hAnsi="宋体"/>
                <w:szCs w:val="21"/>
                <w:highlight w:val="none"/>
              </w:rPr>
              <w:t>1.1</w:t>
            </w:r>
          </w:p>
        </w:tc>
        <w:tc>
          <w:tcPr>
            <w:tcW w:w="2129" w:type="dxa"/>
            <w:vAlign w:val="center"/>
          </w:tcPr>
          <w:p w14:paraId="25FE20EA">
            <w:pPr>
              <w:spacing w:line="312" w:lineRule="auto"/>
              <w:rPr>
                <w:rFonts w:ascii="宋体" w:hAnsi="宋体"/>
                <w:color w:val="auto"/>
                <w:szCs w:val="21"/>
                <w:highlight w:val="none"/>
              </w:rPr>
            </w:pPr>
            <w:r>
              <w:rPr>
                <w:rFonts w:hint="eastAsia" w:ascii="宋体" w:hAnsi="宋体"/>
                <w:color w:val="auto"/>
                <w:szCs w:val="21"/>
                <w:highlight w:val="none"/>
              </w:rPr>
              <w:t>服务期限</w:t>
            </w:r>
          </w:p>
        </w:tc>
        <w:tc>
          <w:tcPr>
            <w:tcW w:w="6433" w:type="dxa"/>
            <w:vAlign w:val="center"/>
          </w:tcPr>
          <w:p w14:paraId="6D154D00">
            <w:pPr>
              <w:spacing w:line="312" w:lineRule="auto"/>
              <w:rPr>
                <w:rFonts w:ascii="宋体" w:hAnsi="宋体"/>
                <w:color w:val="auto"/>
                <w:szCs w:val="21"/>
                <w:highlight w:val="none"/>
              </w:rPr>
            </w:pPr>
            <w:r>
              <w:rPr>
                <w:rFonts w:hint="eastAsia" w:cs="Times New Roman"/>
                <w:color w:val="auto"/>
                <w:highlight w:val="none"/>
                <w:lang w:eastAsia="zh-CN"/>
              </w:rPr>
              <w:t>自合同签订之日起</w:t>
            </w:r>
            <w:r>
              <w:rPr>
                <w:rFonts w:hint="eastAsia" w:cs="Times New Roman"/>
                <w:color w:val="auto"/>
                <w:highlight w:val="none"/>
                <w:lang w:val="en-US" w:eastAsia="zh-CN"/>
              </w:rPr>
              <w:t>70</w:t>
            </w:r>
            <w:r>
              <w:rPr>
                <w:rFonts w:hint="eastAsia" w:cs="Times New Roman"/>
                <w:color w:val="auto"/>
                <w:highlight w:val="none"/>
                <w:lang w:eastAsia="zh-CN"/>
              </w:rPr>
              <w:t>个日历日内完成信用评级工作</w:t>
            </w:r>
            <w:r>
              <w:rPr>
                <w:rFonts w:hint="eastAsia" w:cs="Times New Roman"/>
                <w:color w:val="auto"/>
                <w:highlight w:val="none"/>
              </w:rPr>
              <w:t>。</w:t>
            </w:r>
          </w:p>
        </w:tc>
      </w:tr>
      <w:tr w14:paraId="2033A48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1000" w:type="dxa"/>
            <w:vAlign w:val="center"/>
          </w:tcPr>
          <w:p w14:paraId="492DEF15">
            <w:pPr>
              <w:pStyle w:val="12"/>
              <w:spacing w:line="312" w:lineRule="auto"/>
              <w:jc w:val="center"/>
              <w:rPr>
                <w:rFonts w:hAnsi="宋体"/>
                <w:szCs w:val="21"/>
                <w:highlight w:val="none"/>
              </w:rPr>
            </w:pPr>
            <w:r>
              <w:rPr>
                <w:rFonts w:hint="eastAsia" w:hAnsi="宋体"/>
                <w:szCs w:val="21"/>
                <w:highlight w:val="none"/>
              </w:rPr>
              <w:t>1.1</w:t>
            </w:r>
          </w:p>
        </w:tc>
        <w:tc>
          <w:tcPr>
            <w:tcW w:w="2129" w:type="dxa"/>
            <w:vAlign w:val="center"/>
          </w:tcPr>
          <w:p w14:paraId="12CF85E4">
            <w:pPr>
              <w:spacing w:line="312" w:lineRule="auto"/>
              <w:rPr>
                <w:rFonts w:ascii="宋体" w:hAnsi="宋体"/>
                <w:color w:val="auto"/>
                <w:szCs w:val="21"/>
                <w:highlight w:val="none"/>
              </w:rPr>
            </w:pPr>
            <w:r>
              <w:rPr>
                <w:rFonts w:hint="eastAsia" w:ascii="宋体" w:hAnsi="宋体"/>
                <w:color w:val="auto"/>
                <w:szCs w:val="21"/>
                <w:highlight w:val="none"/>
              </w:rPr>
              <w:t>服务方式</w:t>
            </w:r>
          </w:p>
        </w:tc>
        <w:tc>
          <w:tcPr>
            <w:tcW w:w="6433" w:type="dxa"/>
            <w:vAlign w:val="center"/>
          </w:tcPr>
          <w:p w14:paraId="623B2228">
            <w:pPr>
              <w:spacing w:line="312" w:lineRule="auto"/>
              <w:rPr>
                <w:rFonts w:ascii="宋体" w:hAnsi="宋体"/>
                <w:color w:val="auto"/>
                <w:szCs w:val="21"/>
                <w:highlight w:val="none"/>
              </w:rPr>
            </w:pPr>
            <w:r>
              <w:rPr>
                <w:rFonts w:hint="eastAsia" w:ascii="宋体" w:hAnsi="宋体"/>
                <w:color w:val="auto"/>
                <w:szCs w:val="21"/>
                <w:highlight w:val="none"/>
              </w:rPr>
              <w:t>按招标人要求</w:t>
            </w:r>
          </w:p>
        </w:tc>
      </w:tr>
      <w:tr w14:paraId="28725CA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1000" w:type="dxa"/>
            <w:vAlign w:val="center"/>
          </w:tcPr>
          <w:p w14:paraId="65A6018A">
            <w:pPr>
              <w:pStyle w:val="12"/>
              <w:spacing w:line="312" w:lineRule="auto"/>
              <w:jc w:val="center"/>
              <w:rPr>
                <w:rFonts w:hAnsi="宋体"/>
                <w:szCs w:val="21"/>
                <w:highlight w:val="none"/>
              </w:rPr>
            </w:pPr>
            <w:r>
              <w:rPr>
                <w:rFonts w:hint="eastAsia" w:hAnsi="宋体"/>
                <w:szCs w:val="21"/>
                <w:highlight w:val="none"/>
              </w:rPr>
              <w:t>1.1</w:t>
            </w:r>
          </w:p>
        </w:tc>
        <w:tc>
          <w:tcPr>
            <w:tcW w:w="2129" w:type="dxa"/>
            <w:vAlign w:val="center"/>
          </w:tcPr>
          <w:p w14:paraId="0C2C17BB">
            <w:pPr>
              <w:spacing w:line="312" w:lineRule="auto"/>
              <w:rPr>
                <w:rFonts w:ascii="宋体" w:hAnsi="宋体"/>
                <w:color w:val="auto"/>
                <w:szCs w:val="21"/>
                <w:highlight w:val="none"/>
              </w:rPr>
            </w:pPr>
            <w:r>
              <w:rPr>
                <w:rFonts w:hint="eastAsia" w:ascii="宋体" w:hAnsi="宋体"/>
                <w:color w:val="auto"/>
                <w:szCs w:val="21"/>
                <w:highlight w:val="none"/>
              </w:rPr>
              <w:t>服务地点</w:t>
            </w:r>
          </w:p>
        </w:tc>
        <w:tc>
          <w:tcPr>
            <w:tcW w:w="6433" w:type="dxa"/>
            <w:vAlign w:val="center"/>
          </w:tcPr>
          <w:p w14:paraId="067E4C3C">
            <w:pPr>
              <w:spacing w:line="312" w:lineRule="auto"/>
              <w:rPr>
                <w:rFonts w:ascii="宋体" w:hAnsi="宋体"/>
                <w:color w:val="auto"/>
                <w:szCs w:val="21"/>
                <w:highlight w:val="none"/>
              </w:rPr>
            </w:pPr>
            <w:r>
              <w:rPr>
                <w:rFonts w:hint="eastAsia" w:ascii="宋体" w:hAnsi="宋体"/>
                <w:color w:val="auto"/>
                <w:szCs w:val="21"/>
                <w:highlight w:val="none"/>
              </w:rPr>
              <w:t>招标人指定地点</w:t>
            </w:r>
          </w:p>
        </w:tc>
      </w:tr>
      <w:tr w14:paraId="66A47B9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1000" w:type="dxa"/>
            <w:vAlign w:val="center"/>
          </w:tcPr>
          <w:p w14:paraId="3FAAC2E5">
            <w:pPr>
              <w:pStyle w:val="12"/>
              <w:spacing w:line="312" w:lineRule="auto"/>
              <w:jc w:val="center"/>
              <w:rPr>
                <w:rFonts w:hAnsi="宋体"/>
                <w:szCs w:val="21"/>
                <w:highlight w:val="none"/>
              </w:rPr>
            </w:pPr>
            <w:r>
              <w:rPr>
                <w:rFonts w:hint="eastAsia" w:hAnsi="宋体"/>
                <w:szCs w:val="21"/>
                <w:highlight w:val="none"/>
              </w:rPr>
              <w:t>1.2</w:t>
            </w:r>
          </w:p>
        </w:tc>
        <w:tc>
          <w:tcPr>
            <w:tcW w:w="2129" w:type="dxa"/>
            <w:vAlign w:val="center"/>
          </w:tcPr>
          <w:p w14:paraId="46007CCE">
            <w:pPr>
              <w:spacing w:line="312" w:lineRule="auto"/>
              <w:rPr>
                <w:rFonts w:ascii="宋体" w:hAnsi="宋体"/>
                <w:color w:val="auto"/>
                <w:szCs w:val="21"/>
                <w:highlight w:val="none"/>
              </w:rPr>
            </w:pPr>
            <w:r>
              <w:rPr>
                <w:rFonts w:hint="eastAsia" w:ascii="宋体" w:hAnsi="宋体"/>
                <w:color w:val="auto"/>
                <w:szCs w:val="21"/>
                <w:highlight w:val="none"/>
              </w:rPr>
              <w:t>招标人联系人及电话</w:t>
            </w:r>
          </w:p>
        </w:tc>
        <w:tc>
          <w:tcPr>
            <w:tcW w:w="6433" w:type="dxa"/>
            <w:vAlign w:val="center"/>
          </w:tcPr>
          <w:p w14:paraId="66386A30">
            <w:pPr>
              <w:spacing w:line="312" w:lineRule="auto"/>
              <w:rPr>
                <w:rFonts w:hint="eastAsia" w:ascii="宋体" w:hAnsi="宋体" w:eastAsia="宋体"/>
                <w:color w:val="auto"/>
                <w:szCs w:val="21"/>
                <w:highlight w:val="none"/>
                <w:lang w:val="en-US" w:eastAsia="zh-CN"/>
              </w:rPr>
            </w:pPr>
            <w:r>
              <w:rPr>
                <w:rFonts w:hint="eastAsia" w:ascii="宋体" w:hAnsi="宋体"/>
                <w:color w:val="auto"/>
                <w:szCs w:val="21"/>
                <w:highlight w:val="none"/>
              </w:rPr>
              <w:t>联系人：</w:t>
            </w:r>
            <w:r>
              <w:rPr>
                <w:rFonts w:hint="eastAsia" w:ascii="宋体" w:hAnsi="宋体"/>
                <w:color w:val="auto"/>
                <w:szCs w:val="21"/>
                <w:highlight w:val="none"/>
                <w:lang w:val="en-US" w:eastAsia="zh-CN"/>
              </w:rPr>
              <w:t>孙</w:t>
            </w:r>
            <w:r>
              <w:rPr>
                <w:rFonts w:hint="eastAsia" w:ascii="宋体" w:hAnsi="宋体"/>
                <w:color w:val="auto"/>
                <w:szCs w:val="21"/>
                <w:highlight w:val="none"/>
              </w:rPr>
              <w:t>经理         联系电话：0551-6266828</w:t>
            </w:r>
            <w:r>
              <w:rPr>
                <w:rFonts w:hint="eastAsia" w:ascii="宋体" w:hAnsi="宋体"/>
                <w:color w:val="auto"/>
                <w:szCs w:val="21"/>
                <w:highlight w:val="none"/>
                <w:lang w:val="en-US" w:eastAsia="zh-CN"/>
              </w:rPr>
              <w:t>0</w:t>
            </w:r>
          </w:p>
        </w:tc>
      </w:tr>
      <w:tr w14:paraId="5F2605C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590" w:hRule="atLeast"/>
          <w:jc w:val="center"/>
        </w:trPr>
        <w:tc>
          <w:tcPr>
            <w:tcW w:w="1000" w:type="dxa"/>
            <w:vAlign w:val="center"/>
          </w:tcPr>
          <w:p w14:paraId="19DD55C8">
            <w:pPr>
              <w:pStyle w:val="12"/>
              <w:spacing w:line="312" w:lineRule="auto"/>
              <w:jc w:val="center"/>
              <w:rPr>
                <w:rFonts w:hAnsi="宋体"/>
                <w:szCs w:val="21"/>
                <w:highlight w:val="none"/>
              </w:rPr>
            </w:pPr>
            <w:r>
              <w:rPr>
                <w:rFonts w:hint="eastAsia" w:hAnsi="宋体"/>
                <w:szCs w:val="21"/>
                <w:highlight w:val="none"/>
              </w:rPr>
              <w:t>1.3</w:t>
            </w:r>
          </w:p>
        </w:tc>
        <w:tc>
          <w:tcPr>
            <w:tcW w:w="2129" w:type="dxa"/>
            <w:vAlign w:val="center"/>
          </w:tcPr>
          <w:p w14:paraId="26FFBAFD">
            <w:pPr>
              <w:spacing w:line="312" w:lineRule="auto"/>
              <w:rPr>
                <w:rFonts w:ascii="宋体" w:hAnsi="宋体"/>
                <w:color w:val="auto"/>
                <w:szCs w:val="21"/>
                <w:highlight w:val="none"/>
              </w:rPr>
            </w:pPr>
            <w:r>
              <w:rPr>
                <w:rFonts w:hint="eastAsia" w:ascii="宋体" w:hAnsi="宋体"/>
                <w:color w:val="auto"/>
                <w:szCs w:val="21"/>
                <w:highlight w:val="none"/>
              </w:rPr>
              <w:t xml:space="preserve">资金来源                                                                                                                                                                 </w:t>
            </w:r>
          </w:p>
        </w:tc>
        <w:tc>
          <w:tcPr>
            <w:tcW w:w="6433" w:type="dxa"/>
            <w:vAlign w:val="center"/>
          </w:tcPr>
          <w:p w14:paraId="3C801D58">
            <w:pPr>
              <w:spacing w:line="312" w:lineRule="auto"/>
              <w:rPr>
                <w:rFonts w:ascii="宋体" w:hAnsi="宋体"/>
                <w:color w:val="auto"/>
                <w:szCs w:val="21"/>
                <w:highlight w:val="none"/>
              </w:rPr>
            </w:pPr>
            <w:r>
              <w:rPr>
                <w:rFonts w:hint="eastAsia" w:ascii="宋体" w:hAnsi="宋体"/>
                <w:color w:val="auto"/>
                <w:szCs w:val="21"/>
                <w:highlight w:val="none"/>
              </w:rPr>
              <w:t>自筹资金</w:t>
            </w:r>
          </w:p>
        </w:tc>
      </w:tr>
      <w:tr w14:paraId="4D5232E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513" w:hRule="atLeast"/>
          <w:jc w:val="center"/>
        </w:trPr>
        <w:tc>
          <w:tcPr>
            <w:tcW w:w="1000" w:type="dxa"/>
            <w:vAlign w:val="center"/>
          </w:tcPr>
          <w:p w14:paraId="08978B20">
            <w:pPr>
              <w:pStyle w:val="12"/>
              <w:spacing w:line="312" w:lineRule="auto"/>
              <w:jc w:val="center"/>
              <w:rPr>
                <w:rFonts w:hAnsi="宋体" w:cs="宋体"/>
                <w:szCs w:val="21"/>
                <w:highlight w:val="none"/>
              </w:rPr>
            </w:pPr>
            <w:r>
              <w:rPr>
                <w:rFonts w:hint="eastAsia" w:hAnsi="宋体" w:cs="宋体"/>
                <w:szCs w:val="21"/>
                <w:highlight w:val="none"/>
              </w:rPr>
              <w:t>1.4</w:t>
            </w:r>
          </w:p>
        </w:tc>
        <w:tc>
          <w:tcPr>
            <w:tcW w:w="2129" w:type="dxa"/>
            <w:vAlign w:val="center"/>
          </w:tcPr>
          <w:p w14:paraId="58B6DD95">
            <w:pPr>
              <w:spacing w:line="312" w:lineRule="auto"/>
              <w:rPr>
                <w:rFonts w:ascii="宋体" w:hAnsi="宋体"/>
                <w:color w:val="auto"/>
                <w:szCs w:val="21"/>
                <w:highlight w:val="none"/>
              </w:rPr>
            </w:pPr>
            <w:r>
              <w:rPr>
                <w:rFonts w:hint="eastAsia" w:ascii="宋体" w:hAnsi="宋体"/>
                <w:color w:val="auto"/>
                <w:szCs w:val="21"/>
                <w:highlight w:val="none"/>
              </w:rPr>
              <w:t>采购预算</w:t>
            </w:r>
          </w:p>
        </w:tc>
        <w:tc>
          <w:tcPr>
            <w:tcW w:w="6433" w:type="dxa"/>
            <w:vAlign w:val="center"/>
          </w:tcPr>
          <w:p w14:paraId="2F10C4A4">
            <w:pPr>
              <w:spacing w:line="312" w:lineRule="auto"/>
              <w:rPr>
                <w:rFonts w:ascii="宋体" w:hAnsi="宋体"/>
                <w:color w:val="auto"/>
                <w:szCs w:val="21"/>
                <w:highlight w:val="none"/>
              </w:rPr>
            </w:pPr>
            <w:r>
              <w:rPr>
                <w:rFonts w:hint="eastAsia" w:ascii="宋体" w:hAnsi="宋体"/>
                <w:color w:val="auto"/>
                <w:szCs w:val="21"/>
                <w:highlight w:val="none"/>
                <w:lang w:eastAsia="zh-CN"/>
              </w:rPr>
              <w:t>不超过</w:t>
            </w:r>
            <w:r>
              <w:rPr>
                <w:rFonts w:hint="eastAsia" w:ascii="宋体" w:hAnsi="宋体"/>
                <w:color w:val="auto"/>
                <w:szCs w:val="21"/>
                <w:highlight w:val="none"/>
              </w:rPr>
              <w:t>25万元</w:t>
            </w:r>
          </w:p>
        </w:tc>
      </w:tr>
      <w:tr w14:paraId="47E5BC7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90" w:hRule="atLeast"/>
          <w:jc w:val="center"/>
        </w:trPr>
        <w:tc>
          <w:tcPr>
            <w:tcW w:w="1000" w:type="dxa"/>
            <w:vAlign w:val="center"/>
          </w:tcPr>
          <w:p w14:paraId="68D5913D">
            <w:pPr>
              <w:pStyle w:val="12"/>
              <w:spacing w:line="312" w:lineRule="auto"/>
              <w:jc w:val="center"/>
              <w:rPr>
                <w:rFonts w:hAnsi="宋体"/>
                <w:szCs w:val="21"/>
                <w:highlight w:val="none"/>
              </w:rPr>
            </w:pPr>
            <w:r>
              <w:rPr>
                <w:rFonts w:hint="eastAsia" w:hAnsi="宋体"/>
                <w:szCs w:val="21"/>
                <w:highlight w:val="none"/>
              </w:rPr>
              <w:t>2.1</w:t>
            </w:r>
          </w:p>
        </w:tc>
        <w:tc>
          <w:tcPr>
            <w:tcW w:w="2129" w:type="dxa"/>
            <w:vAlign w:val="center"/>
          </w:tcPr>
          <w:p w14:paraId="47246B09">
            <w:pPr>
              <w:spacing w:line="312" w:lineRule="auto"/>
              <w:rPr>
                <w:rFonts w:ascii="宋体" w:hAnsi="宋体"/>
                <w:color w:val="auto"/>
                <w:szCs w:val="21"/>
                <w:highlight w:val="none"/>
              </w:rPr>
            </w:pPr>
            <w:r>
              <w:rPr>
                <w:rFonts w:hint="eastAsia" w:ascii="宋体" w:hAnsi="宋体"/>
                <w:color w:val="auto"/>
                <w:szCs w:val="21"/>
                <w:highlight w:val="none"/>
              </w:rPr>
              <w:t>采购需求（内容）</w:t>
            </w:r>
          </w:p>
        </w:tc>
        <w:tc>
          <w:tcPr>
            <w:tcW w:w="6433" w:type="dxa"/>
            <w:vAlign w:val="center"/>
          </w:tcPr>
          <w:p w14:paraId="59F04F5F">
            <w:pPr>
              <w:spacing w:line="312" w:lineRule="auto"/>
              <w:rPr>
                <w:rFonts w:ascii="宋体" w:hAnsi="宋体"/>
                <w:color w:val="auto"/>
                <w:szCs w:val="21"/>
                <w:highlight w:val="none"/>
              </w:rPr>
            </w:pPr>
            <w:r>
              <w:rPr>
                <w:rFonts w:hint="eastAsia" w:ascii="宋体" w:hAnsi="宋体"/>
                <w:szCs w:val="21"/>
                <w:highlight w:val="none"/>
              </w:rPr>
              <w:t>开展外部主体信用评级，具体详见招标文件采购需求及要求。</w:t>
            </w:r>
          </w:p>
        </w:tc>
      </w:tr>
      <w:tr w14:paraId="6DEE6AD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1000" w:type="dxa"/>
            <w:vAlign w:val="center"/>
          </w:tcPr>
          <w:p w14:paraId="4C08B3FE">
            <w:pPr>
              <w:pStyle w:val="12"/>
              <w:spacing w:line="312" w:lineRule="auto"/>
              <w:jc w:val="center"/>
              <w:rPr>
                <w:rFonts w:hAnsi="宋体"/>
                <w:szCs w:val="21"/>
                <w:highlight w:val="none"/>
              </w:rPr>
            </w:pPr>
            <w:r>
              <w:rPr>
                <w:rFonts w:hint="eastAsia" w:hAnsi="宋体"/>
                <w:szCs w:val="21"/>
                <w:highlight w:val="none"/>
              </w:rPr>
              <w:t>4.1</w:t>
            </w:r>
          </w:p>
        </w:tc>
        <w:tc>
          <w:tcPr>
            <w:tcW w:w="2129" w:type="dxa"/>
            <w:vAlign w:val="center"/>
          </w:tcPr>
          <w:p w14:paraId="19750188">
            <w:pPr>
              <w:spacing w:line="312" w:lineRule="auto"/>
              <w:rPr>
                <w:rFonts w:ascii="宋体" w:hAnsi="宋体"/>
                <w:color w:val="auto"/>
                <w:szCs w:val="21"/>
                <w:highlight w:val="none"/>
              </w:rPr>
            </w:pPr>
            <w:r>
              <w:rPr>
                <w:rFonts w:hint="eastAsia" w:ascii="宋体" w:hAnsi="宋体"/>
                <w:color w:val="auto"/>
                <w:szCs w:val="21"/>
                <w:highlight w:val="none"/>
              </w:rPr>
              <w:t>招标方式</w:t>
            </w:r>
          </w:p>
        </w:tc>
        <w:tc>
          <w:tcPr>
            <w:tcW w:w="6433" w:type="dxa"/>
            <w:vAlign w:val="center"/>
          </w:tcPr>
          <w:p w14:paraId="4C8E65C5">
            <w:pPr>
              <w:spacing w:line="312" w:lineRule="auto"/>
              <w:rPr>
                <w:rFonts w:ascii="宋体" w:hAnsi="宋体"/>
                <w:color w:val="auto"/>
                <w:szCs w:val="21"/>
                <w:highlight w:val="none"/>
              </w:rPr>
            </w:pPr>
            <w:r>
              <w:rPr>
                <w:rFonts w:hint="eastAsia" w:ascii="宋体" w:hAnsi="宋体"/>
                <w:color w:val="auto"/>
                <w:szCs w:val="21"/>
                <w:highlight w:val="none"/>
              </w:rPr>
              <w:t xml:space="preserve">公开招标 </w:t>
            </w:r>
          </w:p>
        </w:tc>
      </w:tr>
      <w:tr w14:paraId="0FD4E37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1000" w:type="dxa"/>
            <w:vAlign w:val="center"/>
          </w:tcPr>
          <w:p w14:paraId="09E77E73">
            <w:pPr>
              <w:pStyle w:val="12"/>
              <w:spacing w:line="312" w:lineRule="auto"/>
              <w:jc w:val="center"/>
              <w:rPr>
                <w:rFonts w:hAnsi="宋体"/>
                <w:szCs w:val="21"/>
                <w:highlight w:val="none"/>
              </w:rPr>
            </w:pPr>
            <w:r>
              <w:rPr>
                <w:rFonts w:hint="eastAsia" w:hAnsi="宋体"/>
                <w:szCs w:val="21"/>
                <w:highlight w:val="none"/>
              </w:rPr>
              <w:t>7.2</w:t>
            </w:r>
          </w:p>
        </w:tc>
        <w:tc>
          <w:tcPr>
            <w:tcW w:w="2129" w:type="dxa"/>
            <w:vAlign w:val="center"/>
          </w:tcPr>
          <w:p w14:paraId="3CC0F1C9">
            <w:pPr>
              <w:spacing w:line="312" w:lineRule="auto"/>
              <w:rPr>
                <w:rFonts w:ascii="宋体" w:hAnsi="宋体"/>
                <w:color w:val="auto"/>
                <w:szCs w:val="21"/>
                <w:highlight w:val="none"/>
              </w:rPr>
            </w:pPr>
            <w:r>
              <w:rPr>
                <w:rFonts w:hint="eastAsia" w:ascii="宋体" w:hAnsi="宋体"/>
                <w:color w:val="auto"/>
                <w:szCs w:val="21"/>
                <w:highlight w:val="none"/>
              </w:rPr>
              <w:t>投标人资格要求</w:t>
            </w:r>
          </w:p>
        </w:tc>
        <w:tc>
          <w:tcPr>
            <w:tcW w:w="6433" w:type="dxa"/>
            <w:vAlign w:val="center"/>
          </w:tcPr>
          <w:p w14:paraId="7693ECF8">
            <w:pPr>
              <w:spacing w:line="312" w:lineRule="auto"/>
              <w:rPr>
                <w:rFonts w:ascii="宋体" w:hAnsi="宋体"/>
                <w:color w:val="auto"/>
                <w:szCs w:val="21"/>
                <w:highlight w:val="none"/>
              </w:rPr>
            </w:pPr>
            <w:r>
              <w:rPr>
                <w:rFonts w:hint="eastAsia" w:ascii="宋体" w:hAnsi="宋体"/>
                <w:color w:val="auto"/>
                <w:szCs w:val="21"/>
                <w:highlight w:val="none"/>
              </w:rPr>
              <w:t>详见招标公告投标人资格要求</w:t>
            </w:r>
          </w:p>
        </w:tc>
      </w:tr>
      <w:tr w14:paraId="195D1AE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04" w:hRule="atLeast"/>
          <w:jc w:val="center"/>
        </w:trPr>
        <w:tc>
          <w:tcPr>
            <w:tcW w:w="1000" w:type="dxa"/>
            <w:vAlign w:val="center"/>
          </w:tcPr>
          <w:p w14:paraId="0C63C4C8">
            <w:pPr>
              <w:pStyle w:val="12"/>
              <w:spacing w:line="312" w:lineRule="auto"/>
              <w:jc w:val="center"/>
              <w:rPr>
                <w:rFonts w:hAnsi="宋体"/>
                <w:szCs w:val="21"/>
                <w:highlight w:val="none"/>
              </w:rPr>
            </w:pPr>
            <w:r>
              <w:rPr>
                <w:rFonts w:hint="eastAsia" w:hAnsi="宋体"/>
                <w:szCs w:val="21"/>
                <w:highlight w:val="none"/>
              </w:rPr>
              <w:t>9.1</w:t>
            </w:r>
          </w:p>
        </w:tc>
        <w:tc>
          <w:tcPr>
            <w:tcW w:w="2129" w:type="dxa"/>
            <w:vAlign w:val="center"/>
          </w:tcPr>
          <w:p w14:paraId="3668A397">
            <w:pPr>
              <w:spacing w:line="312" w:lineRule="auto"/>
              <w:rPr>
                <w:rFonts w:ascii="宋体" w:hAnsi="宋体"/>
                <w:color w:val="auto"/>
                <w:szCs w:val="21"/>
                <w:highlight w:val="none"/>
              </w:rPr>
            </w:pPr>
            <w:r>
              <w:rPr>
                <w:rFonts w:hint="eastAsia" w:ascii="宋体" w:hAnsi="宋体"/>
                <w:color w:val="auto"/>
                <w:szCs w:val="21"/>
                <w:highlight w:val="none"/>
              </w:rPr>
              <w:t>踏勘现场</w:t>
            </w:r>
          </w:p>
        </w:tc>
        <w:tc>
          <w:tcPr>
            <w:tcW w:w="6433" w:type="dxa"/>
            <w:vAlign w:val="center"/>
          </w:tcPr>
          <w:p w14:paraId="7D867813">
            <w:pPr>
              <w:spacing w:line="312" w:lineRule="auto"/>
              <w:rPr>
                <w:rFonts w:ascii="宋体" w:hAnsi="宋体"/>
                <w:color w:val="auto"/>
                <w:szCs w:val="21"/>
                <w:highlight w:val="none"/>
              </w:rPr>
            </w:pPr>
            <w:r>
              <w:rPr>
                <w:rFonts w:hint="eastAsia" w:ascii="宋体" w:hAnsi="宋体"/>
                <w:color w:val="auto"/>
                <w:szCs w:val="21"/>
                <w:highlight w:val="none"/>
              </w:rPr>
              <w:t>不组织</w:t>
            </w:r>
          </w:p>
        </w:tc>
      </w:tr>
      <w:tr w14:paraId="22896AF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1000" w:type="dxa"/>
            <w:vAlign w:val="center"/>
          </w:tcPr>
          <w:p w14:paraId="3921DE32">
            <w:pPr>
              <w:pStyle w:val="12"/>
              <w:spacing w:line="312" w:lineRule="auto"/>
              <w:jc w:val="center"/>
              <w:rPr>
                <w:rFonts w:hAnsi="宋体"/>
                <w:szCs w:val="21"/>
                <w:highlight w:val="none"/>
              </w:rPr>
            </w:pPr>
            <w:r>
              <w:rPr>
                <w:rFonts w:hint="eastAsia" w:hAnsi="宋体"/>
                <w:szCs w:val="21"/>
                <w:highlight w:val="none"/>
              </w:rPr>
              <w:t>10.1</w:t>
            </w:r>
          </w:p>
        </w:tc>
        <w:tc>
          <w:tcPr>
            <w:tcW w:w="2129" w:type="dxa"/>
            <w:vAlign w:val="center"/>
          </w:tcPr>
          <w:p w14:paraId="184799BB">
            <w:pPr>
              <w:spacing w:line="312" w:lineRule="auto"/>
              <w:rPr>
                <w:rFonts w:ascii="宋体" w:hAnsi="宋体"/>
                <w:color w:val="auto"/>
                <w:szCs w:val="21"/>
                <w:highlight w:val="none"/>
              </w:rPr>
            </w:pPr>
            <w:r>
              <w:rPr>
                <w:rFonts w:hint="eastAsia" w:ascii="宋体" w:hAnsi="宋体"/>
                <w:color w:val="auto"/>
                <w:szCs w:val="21"/>
                <w:highlight w:val="none"/>
              </w:rPr>
              <w:t>投标预备会</w:t>
            </w:r>
          </w:p>
        </w:tc>
        <w:tc>
          <w:tcPr>
            <w:tcW w:w="6433" w:type="dxa"/>
            <w:vAlign w:val="center"/>
          </w:tcPr>
          <w:p w14:paraId="727FB015">
            <w:pPr>
              <w:spacing w:line="312" w:lineRule="auto"/>
              <w:rPr>
                <w:rFonts w:ascii="宋体" w:hAnsi="宋体"/>
                <w:color w:val="auto"/>
                <w:szCs w:val="21"/>
                <w:highlight w:val="none"/>
              </w:rPr>
            </w:pPr>
            <w:r>
              <w:rPr>
                <w:rFonts w:hint="eastAsia" w:ascii="宋体" w:hAnsi="宋体"/>
                <w:color w:val="auto"/>
                <w:szCs w:val="21"/>
                <w:highlight w:val="none"/>
              </w:rPr>
              <w:t>不召开</w:t>
            </w:r>
          </w:p>
        </w:tc>
      </w:tr>
      <w:tr w14:paraId="5A5C0C9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780" w:hRule="atLeast"/>
          <w:jc w:val="center"/>
        </w:trPr>
        <w:tc>
          <w:tcPr>
            <w:tcW w:w="1000" w:type="dxa"/>
            <w:vAlign w:val="center"/>
          </w:tcPr>
          <w:p w14:paraId="3BFC5ED1">
            <w:pPr>
              <w:pStyle w:val="12"/>
              <w:spacing w:line="312" w:lineRule="auto"/>
              <w:jc w:val="center"/>
              <w:rPr>
                <w:rFonts w:hAnsi="宋体"/>
                <w:szCs w:val="21"/>
                <w:highlight w:val="none"/>
              </w:rPr>
            </w:pPr>
            <w:r>
              <w:rPr>
                <w:rFonts w:hint="eastAsia" w:hAnsi="宋体"/>
                <w:szCs w:val="21"/>
                <w:highlight w:val="none"/>
              </w:rPr>
              <w:t>11.1</w:t>
            </w:r>
          </w:p>
        </w:tc>
        <w:tc>
          <w:tcPr>
            <w:tcW w:w="2129" w:type="dxa"/>
            <w:vAlign w:val="center"/>
          </w:tcPr>
          <w:p w14:paraId="1C469A58">
            <w:pPr>
              <w:spacing w:line="312" w:lineRule="auto"/>
              <w:rPr>
                <w:rFonts w:ascii="宋体" w:hAnsi="宋体"/>
                <w:color w:val="auto"/>
                <w:szCs w:val="21"/>
                <w:highlight w:val="none"/>
              </w:rPr>
            </w:pPr>
            <w:r>
              <w:rPr>
                <w:rFonts w:hint="eastAsia" w:ascii="宋体" w:hAnsi="宋体"/>
                <w:color w:val="auto"/>
                <w:szCs w:val="21"/>
                <w:highlight w:val="none"/>
              </w:rPr>
              <w:t>联合体投标</w:t>
            </w:r>
          </w:p>
        </w:tc>
        <w:tc>
          <w:tcPr>
            <w:tcW w:w="6433" w:type="dxa"/>
            <w:vAlign w:val="center"/>
          </w:tcPr>
          <w:p w14:paraId="0D9194F4">
            <w:pPr>
              <w:spacing w:line="312" w:lineRule="auto"/>
              <w:rPr>
                <w:rFonts w:ascii="宋体" w:hAnsi="宋体"/>
                <w:color w:val="auto"/>
                <w:szCs w:val="21"/>
                <w:highlight w:val="none"/>
              </w:rPr>
            </w:pPr>
            <w:bookmarkStart w:id="35" w:name="OLE_LINK7"/>
            <w:bookmarkStart w:id="36" w:name="OLE_LINK8"/>
            <w:r>
              <w:rPr>
                <w:rFonts w:hint="eastAsia" w:ascii="宋体" w:hAnsi="宋体"/>
                <w:color w:val="auto"/>
                <w:szCs w:val="21"/>
                <w:highlight w:val="none"/>
              </w:rPr>
              <w:t>本次招标不接受联合体投标</w:t>
            </w:r>
            <w:bookmarkEnd w:id="35"/>
            <w:bookmarkEnd w:id="36"/>
          </w:p>
        </w:tc>
      </w:tr>
      <w:tr w14:paraId="1CF5E68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564" w:hRule="atLeast"/>
          <w:jc w:val="center"/>
        </w:trPr>
        <w:tc>
          <w:tcPr>
            <w:tcW w:w="1000" w:type="dxa"/>
            <w:vAlign w:val="center"/>
          </w:tcPr>
          <w:p w14:paraId="09E507D8">
            <w:pPr>
              <w:spacing w:line="312" w:lineRule="auto"/>
              <w:jc w:val="center"/>
              <w:rPr>
                <w:rFonts w:ascii="宋体" w:hAnsi="宋体" w:cs="宋体"/>
                <w:color w:val="auto"/>
                <w:szCs w:val="21"/>
                <w:highlight w:val="none"/>
              </w:rPr>
            </w:pPr>
            <w:r>
              <w:rPr>
                <w:rFonts w:hint="eastAsia" w:ascii="宋体" w:hAnsi="宋体" w:cs="宋体"/>
                <w:color w:val="auto"/>
                <w:szCs w:val="21"/>
                <w:highlight w:val="none"/>
              </w:rPr>
              <w:t>12</w:t>
            </w:r>
          </w:p>
        </w:tc>
        <w:tc>
          <w:tcPr>
            <w:tcW w:w="2129" w:type="dxa"/>
            <w:vAlign w:val="center"/>
          </w:tcPr>
          <w:p w14:paraId="4B50749C">
            <w:pPr>
              <w:spacing w:line="312" w:lineRule="auto"/>
              <w:rPr>
                <w:rFonts w:ascii="宋体" w:hAnsi="宋体"/>
                <w:color w:val="auto"/>
                <w:szCs w:val="21"/>
                <w:highlight w:val="none"/>
              </w:rPr>
            </w:pPr>
            <w:r>
              <w:rPr>
                <w:rFonts w:hint="eastAsia" w:ascii="宋体" w:hAnsi="宋体"/>
                <w:color w:val="auto"/>
                <w:szCs w:val="21"/>
                <w:highlight w:val="none"/>
              </w:rPr>
              <w:t>招标代理费</w:t>
            </w:r>
          </w:p>
        </w:tc>
        <w:tc>
          <w:tcPr>
            <w:tcW w:w="6433" w:type="dxa"/>
            <w:vAlign w:val="center"/>
          </w:tcPr>
          <w:p w14:paraId="5FA79A84">
            <w:pPr>
              <w:spacing w:line="312" w:lineRule="auto"/>
              <w:rPr>
                <w:rFonts w:ascii="宋体" w:hAnsi="宋体"/>
                <w:color w:val="auto"/>
                <w:szCs w:val="21"/>
                <w:highlight w:val="none"/>
              </w:rPr>
            </w:pPr>
            <w:r>
              <w:rPr>
                <w:rFonts w:hint="eastAsia" w:ascii="宋体" w:hAnsi="宋体"/>
                <w:color w:val="auto"/>
                <w:szCs w:val="21"/>
                <w:highlight w:val="none"/>
              </w:rPr>
              <w:t>无</w:t>
            </w:r>
          </w:p>
        </w:tc>
      </w:tr>
      <w:tr w14:paraId="5EFB19B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1000" w:type="dxa"/>
            <w:vAlign w:val="center"/>
          </w:tcPr>
          <w:p w14:paraId="6BA039F6">
            <w:pPr>
              <w:pStyle w:val="12"/>
              <w:spacing w:line="312" w:lineRule="auto"/>
              <w:jc w:val="center"/>
              <w:rPr>
                <w:rFonts w:hAnsi="宋体"/>
                <w:szCs w:val="21"/>
                <w:highlight w:val="none"/>
              </w:rPr>
            </w:pPr>
            <w:r>
              <w:rPr>
                <w:rFonts w:hint="eastAsia" w:hAnsi="宋体"/>
                <w:szCs w:val="21"/>
                <w:highlight w:val="none"/>
              </w:rPr>
              <w:t>23.1</w:t>
            </w:r>
          </w:p>
        </w:tc>
        <w:tc>
          <w:tcPr>
            <w:tcW w:w="2129" w:type="dxa"/>
            <w:vAlign w:val="center"/>
          </w:tcPr>
          <w:p w14:paraId="035F40D7">
            <w:pPr>
              <w:spacing w:line="312" w:lineRule="auto"/>
              <w:rPr>
                <w:rFonts w:ascii="宋体" w:hAnsi="宋体"/>
                <w:color w:val="auto"/>
                <w:szCs w:val="21"/>
                <w:highlight w:val="none"/>
              </w:rPr>
            </w:pPr>
            <w:r>
              <w:rPr>
                <w:rFonts w:hint="eastAsia" w:ascii="宋体" w:hAnsi="宋体"/>
                <w:color w:val="auto"/>
                <w:szCs w:val="21"/>
                <w:highlight w:val="none"/>
              </w:rPr>
              <w:t>投标有效期</w:t>
            </w:r>
          </w:p>
        </w:tc>
        <w:tc>
          <w:tcPr>
            <w:tcW w:w="6433" w:type="dxa"/>
            <w:vAlign w:val="center"/>
          </w:tcPr>
          <w:p w14:paraId="679E3027">
            <w:pPr>
              <w:spacing w:line="312" w:lineRule="auto"/>
              <w:rPr>
                <w:rFonts w:ascii="宋体" w:hAnsi="宋体"/>
                <w:color w:val="auto"/>
                <w:szCs w:val="21"/>
                <w:highlight w:val="none"/>
              </w:rPr>
            </w:pPr>
            <w:r>
              <w:rPr>
                <w:rFonts w:hint="eastAsia" w:ascii="宋体" w:hAnsi="宋体"/>
                <w:color w:val="auto"/>
                <w:szCs w:val="21"/>
                <w:highlight w:val="none"/>
              </w:rPr>
              <w:t>投标有效期为90日历天（从投标截止之日算起）。在此期限内，凡符合本招标文件要求的投标文件均保持有效。</w:t>
            </w:r>
          </w:p>
        </w:tc>
      </w:tr>
      <w:tr w14:paraId="0627849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01" w:hRule="atLeast"/>
          <w:jc w:val="center"/>
        </w:trPr>
        <w:tc>
          <w:tcPr>
            <w:tcW w:w="1000" w:type="dxa"/>
            <w:vAlign w:val="center"/>
          </w:tcPr>
          <w:p w14:paraId="4198D71D">
            <w:pPr>
              <w:spacing w:line="312" w:lineRule="auto"/>
              <w:jc w:val="center"/>
              <w:rPr>
                <w:rFonts w:ascii="宋体" w:hAnsi="宋体" w:cs="宋体"/>
                <w:color w:val="auto"/>
                <w:szCs w:val="21"/>
                <w:highlight w:val="none"/>
              </w:rPr>
            </w:pPr>
            <w:r>
              <w:rPr>
                <w:rFonts w:hint="eastAsia" w:ascii="宋体" w:hAnsi="宋体" w:cs="宋体"/>
                <w:color w:val="auto"/>
                <w:szCs w:val="21"/>
                <w:highlight w:val="none"/>
              </w:rPr>
              <w:t>24</w:t>
            </w:r>
          </w:p>
        </w:tc>
        <w:tc>
          <w:tcPr>
            <w:tcW w:w="2129" w:type="dxa"/>
            <w:vAlign w:val="center"/>
          </w:tcPr>
          <w:p w14:paraId="1AC84937">
            <w:pPr>
              <w:spacing w:line="312" w:lineRule="auto"/>
              <w:rPr>
                <w:rFonts w:ascii="宋体" w:hAnsi="宋体"/>
                <w:color w:val="auto"/>
                <w:szCs w:val="21"/>
                <w:highlight w:val="none"/>
              </w:rPr>
            </w:pPr>
            <w:r>
              <w:rPr>
                <w:rFonts w:hint="eastAsia" w:ascii="宋体" w:hAnsi="宋体"/>
                <w:color w:val="auto"/>
                <w:szCs w:val="21"/>
                <w:highlight w:val="none"/>
              </w:rPr>
              <w:t>投标保证金</w:t>
            </w:r>
          </w:p>
        </w:tc>
        <w:tc>
          <w:tcPr>
            <w:tcW w:w="6433" w:type="dxa"/>
          </w:tcPr>
          <w:p w14:paraId="6FB74B30">
            <w:pPr>
              <w:spacing w:line="312" w:lineRule="auto"/>
              <w:rPr>
                <w:rFonts w:ascii="宋体" w:hAnsi="宋体"/>
                <w:color w:val="auto"/>
                <w:szCs w:val="21"/>
                <w:highlight w:val="none"/>
              </w:rPr>
            </w:pPr>
            <w:r>
              <w:rPr>
                <w:rFonts w:hint="eastAsia" w:ascii="宋体" w:hAnsi="宋体"/>
                <w:color w:val="auto"/>
                <w:szCs w:val="21"/>
                <w:highlight w:val="none"/>
              </w:rPr>
              <w:t>详见第一章“招标公告”</w:t>
            </w:r>
          </w:p>
        </w:tc>
      </w:tr>
      <w:tr w14:paraId="0282244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1000" w:type="dxa"/>
            <w:vAlign w:val="center"/>
          </w:tcPr>
          <w:p w14:paraId="7D71B7B7">
            <w:pPr>
              <w:pStyle w:val="12"/>
              <w:spacing w:line="312" w:lineRule="auto"/>
              <w:jc w:val="center"/>
              <w:rPr>
                <w:rFonts w:hAnsi="宋体"/>
                <w:szCs w:val="21"/>
                <w:highlight w:val="none"/>
              </w:rPr>
            </w:pPr>
            <w:r>
              <w:rPr>
                <w:rFonts w:hint="eastAsia" w:hAnsi="宋体"/>
                <w:szCs w:val="21"/>
                <w:highlight w:val="none"/>
              </w:rPr>
              <w:t>25.1</w:t>
            </w:r>
          </w:p>
        </w:tc>
        <w:tc>
          <w:tcPr>
            <w:tcW w:w="2129" w:type="dxa"/>
            <w:vAlign w:val="center"/>
          </w:tcPr>
          <w:p w14:paraId="712E181E">
            <w:pPr>
              <w:spacing w:line="312" w:lineRule="auto"/>
              <w:rPr>
                <w:rFonts w:ascii="宋体" w:hAnsi="宋体"/>
                <w:color w:val="auto"/>
                <w:szCs w:val="21"/>
                <w:highlight w:val="none"/>
              </w:rPr>
            </w:pPr>
            <w:r>
              <w:rPr>
                <w:rFonts w:hint="eastAsia" w:ascii="宋体" w:hAnsi="宋体"/>
                <w:color w:val="auto"/>
                <w:szCs w:val="21"/>
                <w:highlight w:val="none"/>
              </w:rPr>
              <w:t>投标文件数量</w:t>
            </w:r>
          </w:p>
        </w:tc>
        <w:tc>
          <w:tcPr>
            <w:tcW w:w="6433" w:type="dxa"/>
            <w:vAlign w:val="center"/>
          </w:tcPr>
          <w:p w14:paraId="60326B88">
            <w:pPr>
              <w:spacing w:line="312" w:lineRule="auto"/>
              <w:rPr>
                <w:rFonts w:ascii="宋体" w:hAnsi="宋体"/>
                <w:color w:val="auto"/>
                <w:szCs w:val="21"/>
                <w:highlight w:val="none"/>
              </w:rPr>
            </w:pPr>
            <w:r>
              <w:rPr>
                <w:rFonts w:hint="eastAsia" w:ascii="宋体" w:hAnsi="宋体"/>
                <w:color w:val="auto"/>
                <w:szCs w:val="21"/>
                <w:highlight w:val="none"/>
              </w:rPr>
              <w:t>正本一份，副本二份，密封后递交。</w:t>
            </w:r>
          </w:p>
        </w:tc>
      </w:tr>
      <w:tr w14:paraId="7E120C9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1000" w:type="dxa"/>
            <w:vAlign w:val="center"/>
          </w:tcPr>
          <w:p w14:paraId="756C1E81">
            <w:pPr>
              <w:spacing w:line="312" w:lineRule="auto"/>
              <w:jc w:val="center"/>
              <w:rPr>
                <w:rFonts w:ascii="宋体" w:hAnsi="宋体" w:cs="宋体"/>
                <w:color w:val="auto"/>
                <w:szCs w:val="21"/>
                <w:highlight w:val="none"/>
              </w:rPr>
            </w:pPr>
            <w:r>
              <w:rPr>
                <w:rFonts w:hint="eastAsia" w:ascii="宋体" w:hAnsi="宋体" w:cs="宋体"/>
                <w:color w:val="auto"/>
                <w:szCs w:val="21"/>
                <w:highlight w:val="none"/>
              </w:rPr>
              <w:t>25.3</w:t>
            </w:r>
          </w:p>
        </w:tc>
        <w:tc>
          <w:tcPr>
            <w:tcW w:w="2129" w:type="dxa"/>
            <w:vAlign w:val="center"/>
          </w:tcPr>
          <w:p w14:paraId="020AC4BB">
            <w:pPr>
              <w:spacing w:line="312" w:lineRule="auto"/>
              <w:rPr>
                <w:rFonts w:ascii="宋体" w:hAnsi="宋体"/>
                <w:color w:val="auto"/>
                <w:szCs w:val="21"/>
                <w:highlight w:val="none"/>
              </w:rPr>
            </w:pPr>
            <w:r>
              <w:rPr>
                <w:rFonts w:hint="eastAsia" w:ascii="宋体" w:hAnsi="宋体"/>
                <w:color w:val="auto"/>
                <w:szCs w:val="21"/>
                <w:highlight w:val="none"/>
              </w:rPr>
              <w:t>签字或盖章要求</w:t>
            </w:r>
          </w:p>
        </w:tc>
        <w:tc>
          <w:tcPr>
            <w:tcW w:w="6433" w:type="dxa"/>
            <w:vAlign w:val="center"/>
          </w:tcPr>
          <w:p w14:paraId="0B8F4B99">
            <w:pPr>
              <w:spacing w:line="312" w:lineRule="auto"/>
              <w:rPr>
                <w:rFonts w:ascii="宋体" w:hAnsi="宋体"/>
                <w:color w:val="auto"/>
                <w:szCs w:val="21"/>
                <w:highlight w:val="none"/>
              </w:rPr>
            </w:pPr>
            <w:r>
              <w:rPr>
                <w:rFonts w:hint="eastAsia" w:ascii="宋体" w:hAnsi="宋体"/>
                <w:color w:val="auto"/>
                <w:szCs w:val="21"/>
                <w:highlight w:val="none"/>
              </w:rPr>
              <w:t>投标文件须按格式文件要求签字或盖章。</w:t>
            </w:r>
          </w:p>
        </w:tc>
      </w:tr>
      <w:tr w14:paraId="5A5A4B5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1000" w:type="dxa"/>
            <w:vAlign w:val="center"/>
          </w:tcPr>
          <w:p w14:paraId="3DFD5F99">
            <w:pPr>
              <w:spacing w:line="312" w:lineRule="auto"/>
              <w:jc w:val="center"/>
              <w:rPr>
                <w:rFonts w:ascii="宋体" w:hAnsi="宋体" w:cs="宋体"/>
                <w:color w:val="auto"/>
                <w:szCs w:val="21"/>
                <w:highlight w:val="none"/>
              </w:rPr>
            </w:pPr>
            <w:r>
              <w:rPr>
                <w:rFonts w:hint="eastAsia" w:ascii="宋体" w:hAnsi="宋体" w:cs="宋体"/>
                <w:color w:val="auto"/>
                <w:szCs w:val="21"/>
                <w:highlight w:val="none"/>
              </w:rPr>
              <w:t>26.1</w:t>
            </w:r>
          </w:p>
        </w:tc>
        <w:tc>
          <w:tcPr>
            <w:tcW w:w="2129" w:type="dxa"/>
            <w:vAlign w:val="center"/>
          </w:tcPr>
          <w:p w14:paraId="7C5C66A8">
            <w:pPr>
              <w:spacing w:line="312" w:lineRule="auto"/>
              <w:rPr>
                <w:rFonts w:ascii="宋体" w:hAnsi="宋体"/>
                <w:color w:val="auto"/>
                <w:szCs w:val="21"/>
                <w:highlight w:val="none"/>
              </w:rPr>
            </w:pPr>
            <w:r>
              <w:rPr>
                <w:rFonts w:hint="eastAsia" w:ascii="宋体" w:hAnsi="宋体"/>
                <w:color w:val="auto"/>
                <w:szCs w:val="21"/>
                <w:highlight w:val="none"/>
              </w:rPr>
              <w:t>装订要求</w:t>
            </w:r>
          </w:p>
        </w:tc>
        <w:tc>
          <w:tcPr>
            <w:tcW w:w="6433" w:type="dxa"/>
            <w:vAlign w:val="center"/>
          </w:tcPr>
          <w:p w14:paraId="1D24A182">
            <w:pPr>
              <w:spacing w:line="440" w:lineRule="exact"/>
              <w:rPr>
                <w:rFonts w:ascii="宋体" w:hAnsi="宋体"/>
                <w:color w:val="auto"/>
                <w:szCs w:val="21"/>
                <w:highlight w:val="none"/>
              </w:rPr>
            </w:pPr>
            <w:r>
              <w:rPr>
                <w:rFonts w:hint="eastAsia" w:ascii="宋体" w:hAnsi="宋体"/>
                <w:color w:val="auto"/>
                <w:szCs w:val="21"/>
                <w:highlight w:val="none"/>
              </w:rPr>
              <w:t>正副本应分别装订且采用普通订书机装订或胶装，不得采用活页夹装订，否则由此造成松散、脱落的，后果由投标人自负。</w:t>
            </w:r>
          </w:p>
        </w:tc>
      </w:tr>
      <w:tr w14:paraId="7B9AF82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7" w:hRule="atLeast"/>
          <w:jc w:val="center"/>
        </w:trPr>
        <w:tc>
          <w:tcPr>
            <w:tcW w:w="1000" w:type="dxa"/>
            <w:vAlign w:val="center"/>
          </w:tcPr>
          <w:p w14:paraId="6B4DB6DE">
            <w:pPr>
              <w:spacing w:line="312" w:lineRule="auto"/>
              <w:jc w:val="center"/>
              <w:rPr>
                <w:rFonts w:ascii="宋体" w:hAnsi="宋体" w:cs="宋体"/>
                <w:color w:val="auto"/>
                <w:szCs w:val="21"/>
                <w:highlight w:val="none"/>
              </w:rPr>
            </w:pPr>
            <w:r>
              <w:rPr>
                <w:rFonts w:hint="eastAsia" w:ascii="宋体" w:hAnsi="宋体" w:cs="宋体"/>
                <w:color w:val="auto"/>
                <w:szCs w:val="21"/>
                <w:highlight w:val="none"/>
              </w:rPr>
              <w:t>26.2.1</w:t>
            </w:r>
          </w:p>
        </w:tc>
        <w:tc>
          <w:tcPr>
            <w:tcW w:w="2129" w:type="dxa"/>
            <w:vAlign w:val="center"/>
          </w:tcPr>
          <w:p w14:paraId="459B1305">
            <w:pPr>
              <w:spacing w:line="312" w:lineRule="auto"/>
              <w:rPr>
                <w:rFonts w:ascii="宋体" w:hAnsi="宋体"/>
                <w:color w:val="auto"/>
                <w:szCs w:val="21"/>
                <w:highlight w:val="none"/>
              </w:rPr>
            </w:pPr>
            <w:r>
              <w:rPr>
                <w:rFonts w:hint="eastAsia" w:ascii="宋体" w:hAnsi="宋体"/>
                <w:color w:val="auto"/>
                <w:szCs w:val="21"/>
                <w:highlight w:val="none"/>
              </w:rPr>
              <w:t>具体密封要求</w:t>
            </w:r>
          </w:p>
        </w:tc>
        <w:tc>
          <w:tcPr>
            <w:tcW w:w="6433" w:type="dxa"/>
            <w:vAlign w:val="center"/>
          </w:tcPr>
          <w:p w14:paraId="45BC8853">
            <w:pPr>
              <w:spacing w:line="440" w:lineRule="exact"/>
              <w:rPr>
                <w:rFonts w:ascii="宋体" w:hAnsi="宋体"/>
                <w:color w:val="auto"/>
                <w:szCs w:val="21"/>
                <w:highlight w:val="none"/>
              </w:rPr>
            </w:pPr>
            <w:r>
              <w:rPr>
                <w:rFonts w:hint="eastAsia" w:ascii="宋体" w:hAnsi="宋体" w:cs="宋体"/>
                <w:color w:val="auto"/>
                <w:szCs w:val="21"/>
                <w:highlight w:val="none"/>
              </w:rPr>
              <w:t>投标文件正副本放在一个包装袋内密封，并在封套的封口处加盖投标人单位章。</w:t>
            </w:r>
          </w:p>
        </w:tc>
      </w:tr>
      <w:tr w14:paraId="793A71D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972" w:hRule="atLeast"/>
          <w:jc w:val="center"/>
        </w:trPr>
        <w:tc>
          <w:tcPr>
            <w:tcW w:w="1000" w:type="dxa"/>
            <w:vAlign w:val="center"/>
          </w:tcPr>
          <w:p w14:paraId="2B5B14B9">
            <w:pPr>
              <w:spacing w:line="312" w:lineRule="auto"/>
              <w:jc w:val="center"/>
              <w:rPr>
                <w:rFonts w:ascii="宋体" w:hAnsi="宋体" w:cs="宋体"/>
                <w:color w:val="auto"/>
                <w:szCs w:val="21"/>
                <w:highlight w:val="none"/>
              </w:rPr>
            </w:pPr>
            <w:r>
              <w:rPr>
                <w:rFonts w:hint="eastAsia" w:ascii="宋体" w:hAnsi="宋体" w:cs="宋体"/>
                <w:color w:val="auto"/>
                <w:szCs w:val="21"/>
                <w:highlight w:val="none"/>
              </w:rPr>
              <w:t>26.2.2</w:t>
            </w:r>
          </w:p>
        </w:tc>
        <w:tc>
          <w:tcPr>
            <w:tcW w:w="2129" w:type="dxa"/>
            <w:vAlign w:val="center"/>
          </w:tcPr>
          <w:p w14:paraId="27602C67">
            <w:pPr>
              <w:spacing w:line="312" w:lineRule="auto"/>
              <w:rPr>
                <w:rFonts w:ascii="宋体" w:hAnsi="宋体"/>
                <w:color w:val="auto"/>
                <w:szCs w:val="21"/>
                <w:highlight w:val="none"/>
              </w:rPr>
            </w:pPr>
            <w:r>
              <w:rPr>
                <w:rFonts w:hint="eastAsia" w:ascii="宋体" w:hAnsi="宋体"/>
                <w:color w:val="auto"/>
                <w:szCs w:val="21"/>
                <w:highlight w:val="none"/>
              </w:rPr>
              <w:t>大包装袋上应载明的信息</w:t>
            </w:r>
          </w:p>
        </w:tc>
        <w:tc>
          <w:tcPr>
            <w:tcW w:w="6433" w:type="dxa"/>
            <w:vAlign w:val="center"/>
          </w:tcPr>
          <w:p w14:paraId="61C10DD2">
            <w:pPr>
              <w:spacing w:line="312" w:lineRule="auto"/>
              <w:rPr>
                <w:rFonts w:ascii="宋体" w:hAnsi="宋体"/>
                <w:color w:val="auto"/>
                <w:szCs w:val="21"/>
                <w:highlight w:val="none"/>
                <w:u w:val="single"/>
              </w:rPr>
            </w:pPr>
            <w:r>
              <w:rPr>
                <w:rFonts w:hint="eastAsia" w:ascii="宋体" w:hAnsi="宋体"/>
                <w:color w:val="auto"/>
                <w:szCs w:val="21"/>
                <w:highlight w:val="none"/>
              </w:rPr>
              <w:t>投标人地址：</w:t>
            </w:r>
            <w:r>
              <w:rPr>
                <w:rFonts w:hint="eastAsia" w:ascii="宋体" w:hAnsi="宋体"/>
                <w:color w:val="auto"/>
                <w:szCs w:val="21"/>
                <w:highlight w:val="none"/>
                <w:u w:val="single"/>
              </w:rPr>
              <w:t xml:space="preserve">                     </w:t>
            </w:r>
          </w:p>
          <w:p w14:paraId="5C2D932F">
            <w:pPr>
              <w:spacing w:line="312" w:lineRule="auto"/>
              <w:rPr>
                <w:rFonts w:ascii="宋体" w:hAnsi="宋体"/>
                <w:color w:val="auto"/>
                <w:szCs w:val="21"/>
                <w:highlight w:val="none"/>
                <w:u w:val="single"/>
              </w:rPr>
            </w:pPr>
            <w:r>
              <w:rPr>
                <w:rFonts w:hint="eastAsia" w:ascii="宋体" w:hAnsi="宋体"/>
                <w:color w:val="auto"/>
                <w:szCs w:val="21"/>
                <w:highlight w:val="none"/>
              </w:rPr>
              <w:t>投标人名称：</w:t>
            </w:r>
            <w:r>
              <w:rPr>
                <w:rFonts w:hint="eastAsia" w:ascii="宋体" w:hAnsi="宋体"/>
                <w:color w:val="auto"/>
                <w:szCs w:val="21"/>
                <w:highlight w:val="none"/>
                <w:u w:val="single"/>
              </w:rPr>
              <w:t xml:space="preserve">                    </w:t>
            </w:r>
          </w:p>
          <w:p w14:paraId="68B21FE0">
            <w:pPr>
              <w:spacing w:line="312" w:lineRule="auto"/>
              <w:rPr>
                <w:rFonts w:ascii="宋体" w:hAnsi="宋体"/>
                <w:color w:val="auto"/>
                <w:szCs w:val="21"/>
                <w:highlight w:val="none"/>
              </w:rPr>
            </w:pP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r>
              <w:rPr>
                <w:rFonts w:hint="eastAsia" w:ascii="宋体" w:hAnsi="宋体"/>
                <w:color w:val="auto"/>
                <w:szCs w:val="21"/>
                <w:highlight w:val="none"/>
              </w:rPr>
              <w:t>投标文件</w:t>
            </w:r>
          </w:p>
        </w:tc>
      </w:tr>
      <w:tr w14:paraId="21997D0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54" w:hRule="atLeast"/>
          <w:jc w:val="center"/>
        </w:trPr>
        <w:tc>
          <w:tcPr>
            <w:tcW w:w="1000" w:type="dxa"/>
            <w:vAlign w:val="center"/>
          </w:tcPr>
          <w:p w14:paraId="306FF568">
            <w:pPr>
              <w:spacing w:line="312" w:lineRule="auto"/>
              <w:jc w:val="center"/>
              <w:rPr>
                <w:rFonts w:ascii="宋体" w:hAnsi="宋体" w:cs="宋体"/>
                <w:color w:val="auto"/>
                <w:szCs w:val="21"/>
                <w:highlight w:val="none"/>
              </w:rPr>
            </w:pPr>
            <w:r>
              <w:rPr>
                <w:rFonts w:hint="eastAsia" w:ascii="宋体" w:hAnsi="宋体" w:cs="宋体"/>
                <w:color w:val="auto"/>
                <w:szCs w:val="21"/>
                <w:highlight w:val="none"/>
              </w:rPr>
              <w:t>27.1</w:t>
            </w:r>
          </w:p>
        </w:tc>
        <w:tc>
          <w:tcPr>
            <w:tcW w:w="2129" w:type="dxa"/>
            <w:vAlign w:val="center"/>
          </w:tcPr>
          <w:p w14:paraId="372D1AC5">
            <w:pPr>
              <w:spacing w:line="312" w:lineRule="auto"/>
              <w:rPr>
                <w:rFonts w:ascii="宋体" w:hAnsi="宋体"/>
                <w:color w:val="auto"/>
                <w:szCs w:val="21"/>
                <w:highlight w:val="none"/>
              </w:rPr>
            </w:pPr>
            <w:r>
              <w:rPr>
                <w:rFonts w:hint="eastAsia" w:ascii="宋体" w:hAnsi="宋体"/>
                <w:color w:val="auto"/>
                <w:szCs w:val="21"/>
                <w:highlight w:val="none"/>
              </w:rPr>
              <w:t>投标截止时间</w:t>
            </w:r>
          </w:p>
        </w:tc>
        <w:tc>
          <w:tcPr>
            <w:tcW w:w="6433" w:type="dxa"/>
            <w:vAlign w:val="center"/>
          </w:tcPr>
          <w:p w14:paraId="55369708">
            <w:pPr>
              <w:spacing w:line="312" w:lineRule="auto"/>
              <w:rPr>
                <w:rFonts w:ascii="宋体" w:hAnsi="宋体"/>
                <w:color w:val="auto"/>
                <w:szCs w:val="21"/>
                <w:highlight w:val="none"/>
              </w:rPr>
            </w:pPr>
            <w:r>
              <w:rPr>
                <w:rFonts w:hint="eastAsia" w:ascii="宋体" w:hAnsi="宋体"/>
                <w:color w:val="auto"/>
                <w:szCs w:val="21"/>
                <w:highlight w:val="none"/>
                <w:u w:val="single"/>
              </w:rPr>
              <w:t>202</w:t>
            </w:r>
            <w:r>
              <w:rPr>
                <w:rFonts w:hint="eastAsia" w:ascii="宋体" w:hAnsi="宋体"/>
                <w:color w:val="auto"/>
                <w:szCs w:val="21"/>
                <w:highlight w:val="none"/>
                <w:u w:val="single"/>
                <w:lang w:val="en-US" w:eastAsia="zh-CN"/>
              </w:rPr>
              <w:t>6</w:t>
            </w:r>
            <w:r>
              <w:rPr>
                <w:rFonts w:hint="eastAsia" w:ascii="宋体" w:hAnsi="宋体"/>
                <w:color w:val="auto"/>
                <w:szCs w:val="21"/>
                <w:highlight w:val="none"/>
              </w:rPr>
              <w:t>年</w:t>
            </w:r>
            <w:r>
              <w:rPr>
                <w:rFonts w:hint="eastAsia" w:ascii="宋体" w:hAnsi="宋体"/>
                <w:color w:val="auto"/>
                <w:szCs w:val="21"/>
                <w:highlight w:val="none"/>
                <w:u w:val="single" w:color="auto"/>
                <w:lang w:val="en-US" w:eastAsia="zh-CN"/>
              </w:rPr>
              <w:t>10</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14</w:t>
            </w:r>
            <w:r>
              <w:rPr>
                <w:rFonts w:hint="eastAsia" w:ascii="宋体" w:hAnsi="宋体"/>
                <w:color w:val="auto"/>
                <w:szCs w:val="21"/>
                <w:highlight w:val="none"/>
                <w:u w:val="single"/>
              </w:rPr>
              <w:t xml:space="preserve"> </w:t>
            </w:r>
            <w:r>
              <w:rPr>
                <w:rFonts w:hint="eastAsia" w:ascii="宋体" w:hAnsi="宋体"/>
                <w:color w:val="auto"/>
                <w:szCs w:val="21"/>
                <w:highlight w:val="none"/>
              </w:rPr>
              <w:t>日</w:t>
            </w:r>
            <w:r>
              <w:rPr>
                <w:rFonts w:hint="eastAsia" w:ascii="宋体" w:hAnsi="宋体"/>
                <w:color w:val="auto"/>
                <w:szCs w:val="21"/>
                <w:highlight w:val="none"/>
                <w:u w:val="single" w:color="auto"/>
                <w:lang w:val="en-US" w:eastAsia="zh-CN"/>
              </w:rPr>
              <w:t>14</w:t>
            </w:r>
            <w:r>
              <w:rPr>
                <w:rFonts w:hint="eastAsia" w:ascii="宋体" w:hAnsi="宋体"/>
                <w:color w:val="auto"/>
                <w:szCs w:val="21"/>
                <w:highlight w:val="none"/>
              </w:rPr>
              <w:t>时</w:t>
            </w:r>
            <w:r>
              <w:rPr>
                <w:rFonts w:hint="eastAsia" w:ascii="宋体" w:hAnsi="宋体"/>
                <w:color w:val="auto"/>
                <w:szCs w:val="21"/>
                <w:highlight w:val="none"/>
                <w:u w:val="single"/>
              </w:rPr>
              <w:t>00</w:t>
            </w:r>
            <w:r>
              <w:rPr>
                <w:rFonts w:hint="eastAsia" w:ascii="宋体" w:hAnsi="宋体"/>
                <w:color w:val="auto"/>
                <w:szCs w:val="21"/>
                <w:highlight w:val="none"/>
              </w:rPr>
              <w:t>分</w:t>
            </w:r>
          </w:p>
        </w:tc>
      </w:tr>
      <w:tr w14:paraId="1121739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jc w:val="center"/>
        </w:trPr>
        <w:tc>
          <w:tcPr>
            <w:tcW w:w="1000" w:type="dxa"/>
            <w:vAlign w:val="center"/>
          </w:tcPr>
          <w:p w14:paraId="56FE3B77">
            <w:pPr>
              <w:spacing w:line="312" w:lineRule="auto"/>
              <w:jc w:val="center"/>
              <w:rPr>
                <w:rFonts w:ascii="宋体" w:hAnsi="宋体" w:cs="宋体"/>
                <w:color w:val="auto"/>
                <w:szCs w:val="21"/>
                <w:highlight w:val="none"/>
              </w:rPr>
            </w:pPr>
            <w:r>
              <w:rPr>
                <w:rFonts w:hint="eastAsia" w:ascii="宋体" w:hAnsi="宋体" w:cs="宋体"/>
                <w:color w:val="auto"/>
                <w:szCs w:val="21"/>
                <w:highlight w:val="none"/>
              </w:rPr>
              <w:t>27.2</w:t>
            </w:r>
          </w:p>
        </w:tc>
        <w:tc>
          <w:tcPr>
            <w:tcW w:w="2129" w:type="dxa"/>
            <w:vAlign w:val="center"/>
          </w:tcPr>
          <w:p w14:paraId="04A8D836">
            <w:pPr>
              <w:spacing w:line="312" w:lineRule="auto"/>
              <w:rPr>
                <w:rFonts w:ascii="宋体" w:hAnsi="宋体"/>
                <w:color w:val="auto"/>
                <w:szCs w:val="21"/>
                <w:highlight w:val="none"/>
              </w:rPr>
            </w:pPr>
            <w:r>
              <w:rPr>
                <w:rFonts w:hint="eastAsia" w:ascii="宋体" w:hAnsi="宋体"/>
                <w:color w:val="auto"/>
                <w:szCs w:val="21"/>
                <w:highlight w:val="none"/>
              </w:rPr>
              <w:t>投标文件提交截止时间</w:t>
            </w:r>
          </w:p>
        </w:tc>
        <w:tc>
          <w:tcPr>
            <w:tcW w:w="6433" w:type="dxa"/>
            <w:vAlign w:val="center"/>
          </w:tcPr>
          <w:p w14:paraId="78A7195B">
            <w:pPr>
              <w:spacing w:line="312" w:lineRule="auto"/>
              <w:rPr>
                <w:rFonts w:ascii="宋体" w:hAnsi="宋体"/>
                <w:color w:val="auto"/>
                <w:szCs w:val="21"/>
                <w:highlight w:val="none"/>
              </w:rPr>
            </w:pPr>
            <w:r>
              <w:rPr>
                <w:rFonts w:hint="eastAsia" w:ascii="宋体" w:hAnsi="宋体"/>
                <w:color w:val="auto"/>
                <w:szCs w:val="21"/>
                <w:highlight w:val="none"/>
              </w:rPr>
              <w:t>时  间：</w:t>
            </w:r>
            <w:r>
              <w:rPr>
                <w:rFonts w:hint="eastAsia" w:ascii="宋体" w:hAnsi="宋体"/>
                <w:color w:val="auto"/>
                <w:szCs w:val="21"/>
                <w:highlight w:val="none"/>
                <w:u w:val="single"/>
              </w:rPr>
              <w:t>同投标截止时间</w:t>
            </w:r>
          </w:p>
          <w:p w14:paraId="1F7D8ECE">
            <w:pPr>
              <w:spacing w:line="312" w:lineRule="auto"/>
              <w:rPr>
                <w:rFonts w:ascii="宋体" w:hAnsi="宋体" w:cs="宋体"/>
                <w:b/>
                <w:bCs/>
                <w:szCs w:val="21"/>
                <w:highlight w:val="none"/>
              </w:rPr>
            </w:pPr>
            <w:r>
              <w:rPr>
                <w:rFonts w:hint="eastAsia" w:ascii="宋体" w:hAnsi="宋体" w:cs="宋体"/>
                <w:b/>
                <w:bCs/>
                <w:szCs w:val="21"/>
                <w:highlight w:val="none"/>
              </w:rPr>
              <w:t>备注：本项目投标文件的提交采用邮寄或快递等形式，无需投标人来现场开标。收件地址：</w:t>
            </w:r>
            <w:bookmarkStart w:id="37" w:name="OLE_LINK12"/>
            <w:bookmarkStart w:id="38" w:name="OLE_LINK11"/>
            <w:r>
              <w:rPr>
                <w:rFonts w:hint="eastAsia" w:ascii="宋体" w:hAnsi="宋体" w:cs="宋体"/>
                <w:b/>
                <w:bCs/>
                <w:szCs w:val="21"/>
                <w:highlight w:val="none"/>
              </w:rPr>
              <w:t>安徽省合肥市庐阳区阜阳北路与龙潭桥路交口文一泊心湾S1栋3楼</w:t>
            </w:r>
            <w:bookmarkEnd w:id="37"/>
            <w:bookmarkEnd w:id="38"/>
            <w:r>
              <w:rPr>
                <w:rFonts w:hint="eastAsia" w:ascii="宋体" w:hAnsi="宋体" w:cs="宋体"/>
                <w:b/>
                <w:bCs/>
                <w:szCs w:val="21"/>
                <w:highlight w:val="none"/>
              </w:rPr>
              <w:t>32</w:t>
            </w:r>
            <w:r>
              <w:rPr>
                <w:rFonts w:hint="eastAsia" w:ascii="宋体" w:hAnsi="宋体" w:cs="宋体"/>
                <w:b/>
                <w:bCs/>
                <w:szCs w:val="21"/>
                <w:highlight w:val="none"/>
                <w:lang w:val="en-US" w:eastAsia="zh-CN"/>
              </w:rPr>
              <w:t>3</w:t>
            </w:r>
            <w:r>
              <w:rPr>
                <w:rFonts w:hint="eastAsia" w:ascii="宋体" w:hAnsi="宋体" w:cs="宋体"/>
                <w:b/>
                <w:bCs/>
                <w:szCs w:val="21"/>
                <w:highlight w:val="none"/>
              </w:rPr>
              <w:t>室；收件人：</w:t>
            </w:r>
            <w:r>
              <w:rPr>
                <w:rFonts w:hint="eastAsia" w:ascii="宋体" w:hAnsi="宋体" w:cs="宋体"/>
                <w:b/>
                <w:bCs/>
                <w:szCs w:val="21"/>
                <w:highlight w:val="none"/>
                <w:lang w:val="en-US" w:eastAsia="zh-CN"/>
              </w:rPr>
              <w:t>孙</w:t>
            </w:r>
            <w:r>
              <w:rPr>
                <w:rFonts w:hint="eastAsia" w:ascii="宋体" w:hAnsi="宋体" w:cs="宋体"/>
                <w:b/>
                <w:bCs/>
                <w:szCs w:val="21"/>
                <w:highlight w:val="none"/>
              </w:rPr>
              <w:t>经理0551-6266828</w:t>
            </w:r>
            <w:r>
              <w:rPr>
                <w:rFonts w:hint="eastAsia" w:ascii="宋体" w:hAnsi="宋体" w:cs="宋体"/>
                <w:b/>
                <w:bCs/>
                <w:szCs w:val="21"/>
                <w:highlight w:val="none"/>
                <w:lang w:val="en-US" w:eastAsia="zh-CN"/>
              </w:rPr>
              <w:t>0</w:t>
            </w:r>
            <w:r>
              <w:rPr>
                <w:rFonts w:hint="eastAsia" w:ascii="宋体" w:hAnsi="宋体" w:cs="宋体"/>
                <w:b/>
                <w:bCs/>
                <w:szCs w:val="21"/>
                <w:highlight w:val="none"/>
              </w:rPr>
              <w:t>；</w:t>
            </w:r>
          </w:p>
          <w:p w14:paraId="626F0290">
            <w:pPr>
              <w:spacing w:line="312" w:lineRule="auto"/>
              <w:rPr>
                <w:rFonts w:ascii="宋体" w:hAnsi="宋体"/>
                <w:color w:val="auto"/>
                <w:szCs w:val="21"/>
                <w:highlight w:val="none"/>
              </w:rPr>
            </w:pPr>
            <w:r>
              <w:rPr>
                <w:rFonts w:hint="eastAsia" w:ascii="宋体" w:hAnsi="宋体" w:cs="宋体"/>
                <w:b/>
                <w:bCs/>
                <w:szCs w:val="21"/>
                <w:highlight w:val="none"/>
              </w:rPr>
              <w:t>送抵及签收时间以邮寄（或快递）签收时间为准。未在投标截止时间前送达并签收的，招标人将拒绝其参与投标。（如因投标人原因或物流快递原因未在规定时间内送达并签收的或超时送达递交的，所有责任、风险由投标人自行承担）。</w:t>
            </w:r>
          </w:p>
        </w:tc>
      </w:tr>
      <w:tr w14:paraId="7AC0687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27" w:hRule="atLeast"/>
          <w:jc w:val="center"/>
        </w:trPr>
        <w:tc>
          <w:tcPr>
            <w:tcW w:w="1000" w:type="dxa"/>
            <w:vAlign w:val="center"/>
          </w:tcPr>
          <w:p w14:paraId="174EF8EF">
            <w:pPr>
              <w:spacing w:line="312" w:lineRule="auto"/>
              <w:jc w:val="center"/>
              <w:rPr>
                <w:rFonts w:ascii="宋体" w:hAnsi="宋体" w:cs="宋体"/>
                <w:color w:val="auto"/>
                <w:szCs w:val="21"/>
                <w:highlight w:val="none"/>
              </w:rPr>
            </w:pPr>
            <w:r>
              <w:rPr>
                <w:rFonts w:hint="eastAsia" w:ascii="宋体" w:hAnsi="宋体" w:cs="宋体"/>
                <w:color w:val="auto"/>
                <w:szCs w:val="21"/>
                <w:highlight w:val="none"/>
              </w:rPr>
              <w:t>29.1</w:t>
            </w:r>
          </w:p>
        </w:tc>
        <w:tc>
          <w:tcPr>
            <w:tcW w:w="2129" w:type="dxa"/>
            <w:vAlign w:val="center"/>
          </w:tcPr>
          <w:p w14:paraId="17E55630">
            <w:pPr>
              <w:spacing w:line="312" w:lineRule="auto"/>
              <w:rPr>
                <w:rFonts w:ascii="宋体" w:hAnsi="宋体"/>
                <w:color w:val="auto"/>
                <w:szCs w:val="21"/>
                <w:highlight w:val="none"/>
              </w:rPr>
            </w:pPr>
            <w:r>
              <w:rPr>
                <w:rFonts w:hint="eastAsia" w:ascii="宋体" w:hAnsi="宋体"/>
                <w:color w:val="auto"/>
                <w:szCs w:val="21"/>
                <w:highlight w:val="none"/>
              </w:rPr>
              <w:t>开标时间及地点</w:t>
            </w:r>
          </w:p>
        </w:tc>
        <w:tc>
          <w:tcPr>
            <w:tcW w:w="6433" w:type="dxa"/>
            <w:vAlign w:val="center"/>
          </w:tcPr>
          <w:p w14:paraId="63346FA8">
            <w:pPr>
              <w:spacing w:line="312" w:lineRule="auto"/>
              <w:rPr>
                <w:rFonts w:ascii="宋体" w:hAnsi="宋体"/>
                <w:color w:val="auto"/>
                <w:szCs w:val="21"/>
                <w:highlight w:val="none"/>
              </w:rPr>
            </w:pPr>
            <w:r>
              <w:rPr>
                <w:rFonts w:hint="eastAsia" w:ascii="宋体" w:hAnsi="宋体"/>
                <w:color w:val="auto"/>
                <w:szCs w:val="21"/>
                <w:highlight w:val="none"/>
              </w:rPr>
              <w:t>开标时间：</w:t>
            </w:r>
            <w:r>
              <w:rPr>
                <w:rFonts w:hint="eastAsia" w:ascii="宋体" w:hAnsi="宋体"/>
                <w:color w:val="auto"/>
                <w:szCs w:val="21"/>
                <w:highlight w:val="none"/>
                <w:u w:val="single"/>
              </w:rPr>
              <w:t>202</w:t>
            </w:r>
            <w:r>
              <w:rPr>
                <w:rFonts w:hint="eastAsia" w:ascii="宋体" w:hAnsi="宋体"/>
                <w:color w:val="auto"/>
                <w:szCs w:val="21"/>
                <w:highlight w:val="none"/>
                <w:u w:val="single"/>
                <w:lang w:val="en-US" w:eastAsia="zh-CN"/>
              </w:rPr>
              <w:t>6</w:t>
            </w:r>
            <w:r>
              <w:rPr>
                <w:rFonts w:hint="eastAsia" w:ascii="宋体" w:hAnsi="宋体"/>
                <w:color w:val="auto"/>
                <w:szCs w:val="21"/>
                <w:highlight w:val="none"/>
              </w:rPr>
              <w:t>年</w:t>
            </w:r>
            <w:r>
              <w:rPr>
                <w:rFonts w:hint="eastAsia" w:ascii="宋体" w:hAnsi="宋体"/>
                <w:color w:val="auto"/>
                <w:szCs w:val="21"/>
                <w:highlight w:val="none"/>
                <w:u w:val="single" w:color="auto"/>
                <w:lang w:val="en-US" w:eastAsia="zh-CN"/>
              </w:rPr>
              <w:t>10</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14</w:t>
            </w:r>
            <w:r>
              <w:rPr>
                <w:rFonts w:hint="eastAsia" w:ascii="宋体" w:hAnsi="宋体"/>
                <w:color w:val="auto"/>
                <w:szCs w:val="21"/>
                <w:highlight w:val="none"/>
              </w:rPr>
              <w:t>日</w:t>
            </w:r>
            <w:r>
              <w:rPr>
                <w:rFonts w:hint="eastAsia" w:ascii="宋体" w:hAnsi="宋体"/>
                <w:color w:val="auto"/>
                <w:szCs w:val="21"/>
                <w:highlight w:val="none"/>
                <w:u w:val="single"/>
              </w:rPr>
              <w:t>15</w:t>
            </w:r>
            <w:r>
              <w:rPr>
                <w:rFonts w:hint="eastAsia" w:ascii="宋体" w:hAnsi="宋体"/>
                <w:color w:val="auto"/>
                <w:szCs w:val="21"/>
                <w:highlight w:val="none"/>
              </w:rPr>
              <w:t>时</w:t>
            </w:r>
            <w:r>
              <w:rPr>
                <w:rFonts w:hint="eastAsia" w:ascii="宋体" w:hAnsi="宋体"/>
                <w:color w:val="auto"/>
                <w:szCs w:val="21"/>
                <w:highlight w:val="none"/>
                <w:u w:val="single"/>
              </w:rPr>
              <w:t>00</w:t>
            </w:r>
            <w:r>
              <w:rPr>
                <w:rFonts w:hint="eastAsia" w:ascii="宋体" w:hAnsi="宋体"/>
                <w:color w:val="auto"/>
                <w:szCs w:val="21"/>
                <w:highlight w:val="none"/>
              </w:rPr>
              <w:t>分</w:t>
            </w:r>
          </w:p>
          <w:p w14:paraId="2C524400">
            <w:pPr>
              <w:spacing w:line="312" w:lineRule="auto"/>
              <w:rPr>
                <w:rFonts w:ascii="宋体" w:hAnsi="宋体"/>
                <w:color w:val="auto"/>
                <w:szCs w:val="21"/>
                <w:highlight w:val="none"/>
              </w:rPr>
            </w:pPr>
            <w:r>
              <w:rPr>
                <w:rFonts w:hint="eastAsia" w:ascii="宋体" w:hAnsi="宋体"/>
                <w:color w:val="auto"/>
                <w:szCs w:val="21"/>
                <w:highlight w:val="none"/>
              </w:rPr>
              <w:t>开标地点：安徽省合肥市庐阳区阜阳北路与龙潭桥路交口文一泊心湾S1栋</w:t>
            </w:r>
          </w:p>
        </w:tc>
      </w:tr>
      <w:tr w14:paraId="6456B45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21" w:hRule="atLeast"/>
          <w:jc w:val="center"/>
        </w:trPr>
        <w:tc>
          <w:tcPr>
            <w:tcW w:w="1000" w:type="dxa"/>
            <w:vAlign w:val="center"/>
          </w:tcPr>
          <w:p w14:paraId="645506C8">
            <w:pPr>
              <w:pStyle w:val="12"/>
              <w:spacing w:line="312" w:lineRule="auto"/>
              <w:jc w:val="center"/>
              <w:rPr>
                <w:rFonts w:hAnsi="宋体"/>
                <w:szCs w:val="21"/>
                <w:highlight w:val="none"/>
              </w:rPr>
            </w:pPr>
            <w:r>
              <w:rPr>
                <w:rFonts w:hint="eastAsia" w:hAnsi="宋体"/>
                <w:szCs w:val="21"/>
                <w:highlight w:val="none"/>
              </w:rPr>
              <w:t>30.1</w:t>
            </w:r>
          </w:p>
        </w:tc>
        <w:tc>
          <w:tcPr>
            <w:tcW w:w="2129" w:type="dxa"/>
            <w:vAlign w:val="center"/>
          </w:tcPr>
          <w:p w14:paraId="31989B0B">
            <w:pPr>
              <w:spacing w:line="312" w:lineRule="auto"/>
              <w:rPr>
                <w:rFonts w:ascii="宋体" w:hAnsi="宋体"/>
                <w:color w:val="auto"/>
                <w:szCs w:val="21"/>
                <w:highlight w:val="none"/>
              </w:rPr>
            </w:pPr>
            <w:r>
              <w:rPr>
                <w:rFonts w:hint="eastAsia" w:ascii="宋体" w:hAnsi="宋体"/>
                <w:color w:val="auto"/>
                <w:szCs w:val="21"/>
                <w:highlight w:val="none"/>
              </w:rPr>
              <w:t>评标委员会的组建</w:t>
            </w:r>
          </w:p>
        </w:tc>
        <w:tc>
          <w:tcPr>
            <w:tcW w:w="6433" w:type="dxa"/>
          </w:tcPr>
          <w:p w14:paraId="14EC1574">
            <w:pPr>
              <w:spacing w:line="312" w:lineRule="auto"/>
              <w:rPr>
                <w:rFonts w:ascii="宋体" w:hAnsi="宋体"/>
                <w:color w:val="auto"/>
                <w:szCs w:val="21"/>
                <w:highlight w:val="none"/>
              </w:rPr>
            </w:pPr>
            <w:r>
              <w:rPr>
                <w:rFonts w:hint="eastAsia" w:ascii="宋体" w:hAnsi="宋体"/>
                <w:color w:val="auto"/>
                <w:szCs w:val="21"/>
                <w:highlight w:val="none"/>
              </w:rPr>
              <w:t>评标委员会由招标人依法组建</w:t>
            </w:r>
          </w:p>
        </w:tc>
      </w:tr>
      <w:tr w14:paraId="40386ED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21" w:hRule="atLeast"/>
          <w:jc w:val="center"/>
        </w:trPr>
        <w:tc>
          <w:tcPr>
            <w:tcW w:w="1000" w:type="dxa"/>
            <w:vAlign w:val="center"/>
          </w:tcPr>
          <w:p w14:paraId="611DA0C5">
            <w:pPr>
              <w:pStyle w:val="12"/>
              <w:spacing w:line="312" w:lineRule="auto"/>
              <w:jc w:val="center"/>
              <w:rPr>
                <w:rFonts w:hAnsi="宋体"/>
                <w:szCs w:val="21"/>
                <w:highlight w:val="none"/>
              </w:rPr>
            </w:pPr>
            <w:r>
              <w:rPr>
                <w:rFonts w:hint="eastAsia" w:hAnsi="宋体"/>
                <w:szCs w:val="21"/>
                <w:highlight w:val="none"/>
              </w:rPr>
              <w:t>32.1.1</w:t>
            </w:r>
          </w:p>
        </w:tc>
        <w:tc>
          <w:tcPr>
            <w:tcW w:w="2129" w:type="dxa"/>
            <w:vAlign w:val="center"/>
          </w:tcPr>
          <w:p w14:paraId="052D6305">
            <w:pPr>
              <w:spacing w:line="312" w:lineRule="auto"/>
              <w:rPr>
                <w:rFonts w:ascii="宋体" w:hAnsi="宋体"/>
                <w:color w:val="auto"/>
                <w:szCs w:val="21"/>
                <w:highlight w:val="none"/>
              </w:rPr>
            </w:pPr>
            <w:r>
              <w:rPr>
                <w:rFonts w:hint="eastAsia" w:ascii="宋体" w:hAnsi="宋体"/>
                <w:color w:val="auto"/>
                <w:szCs w:val="21"/>
                <w:highlight w:val="none"/>
              </w:rPr>
              <w:t>是否授权评标委员会确定中标候选人</w:t>
            </w:r>
          </w:p>
        </w:tc>
        <w:tc>
          <w:tcPr>
            <w:tcW w:w="6433" w:type="dxa"/>
            <w:vAlign w:val="center"/>
          </w:tcPr>
          <w:p w14:paraId="02BBA947">
            <w:pPr>
              <w:spacing w:line="312" w:lineRule="auto"/>
              <w:rPr>
                <w:rFonts w:ascii="宋体" w:hAnsi="宋体"/>
                <w:color w:val="auto"/>
                <w:szCs w:val="21"/>
                <w:highlight w:val="none"/>
              </w:rPr>
            </w:pPr>
            <w:r>
              <w:rPr>
                <w:rFonts w:hint="eastAsia" w:ascii="宋体" w:hAnsi="宋体"/>
                <w:color w:val="auto"/>
                <w:szCs w:val="21"/>
                <w:highlight w:val="none"/>
              </w:rPr>
              <w:t>是，评标委员会推荐3名中标候选人。</w:t>
            </w:r>
          </w:p>
        </w:tc>
      </w:tr>
      <w:tr w14:paraId="6EE4A7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21" w:hRule="atLeast"/>
          <w:jc w:val="center"/>
        </w:trPr>
        <w:tc>
          <w:tcPr>
            <w:tcW w:w="1000" w:type="dxa"/>
            <w:vAlign w:val="center"/>
          </w:tcPr>
          <w:p w14:paraId="6753AB88">
            <w:pPr>
              <w:pStyle w:val="12"/>
              <w:spacing w:line="312" w:lineRule="auto"/>
              <w:jc w:val="center"/>
              <w:rPr>
                <w:rFonts w:hAnsi="宋体"/>
                <w:szCs w:val="21"/>
                <w:highlight w:val="none"/>
              </w:rPr>
            </w:pPr>
            <w:r>
              <w:rPr>
                <w:rFonts w:hint="eastAsia" w:hAnsi="宋体"/>
                <w:szCs w:val="21"/>
                <w:highlight w:val="none"/>
              </w:rPr>
              <w:t>32.1.2</w:t>
            </w:r>
          </w:p>
        </w:tc>
        <w:tc>
          <w:tcPr>
            <w:tcW w:w="2129" w:type="dxa"/>
            <w:vAlign w:val="center"/>
          </w:tcPr>
          <w:p w14:paraId="2D726E1B">
            <w:pPr>
              <w:spacing w:line="312" w:lineRule="auto"/>
              <w:rPr>
                <w:rFonts w:ascii="宋体" w:hAnsi="宋体"/>
                <w:color w:val="auto"/>
                <w:szCs w:val="21"/>
                <w:highlight w:val="none"/>
              </w:rPr>
            </w:pPr>
            <w:r>
              <w:rPr>
                <w:rFonts w:hint="eastAsia" w:ascii="宋体" w:hAnsi="宋体"/>
                <w:color w:val="auto"/>
                <w:szCs w:val="21"/>
                <w:highlight w:val="none"/>
              </w:rPr>
              <w:t>中标人公示媒介</w:t>
            </w:r>
          </w:p>
        </w:tc>
        <w:tc>
          <w:tcPr>
            <w:tcW w:w="6433" w:type="dxa"/>
            <w:vAlign w:val="center"/>
          </w:tcPr>
          <w:p w14:paraId="1383312F">
            <w:pPr>
              <w:spacing w:line="312" w:lineRule="auto"/>
              <w:rPr>
                <w:rFonts w:hint="eastAsia" w:ascii="宋体" w:hAnsi="宋体" w:eastAsia="宋体"/>
                <w:color w:val="auto"/>
                <w:szCs w:val="21"/>
                <w:highlight w:val="none"/>
                <w:lang w:eastAsia="zh-CN"/>
              </w:rPr>
            </w:pPr>
            <w:r>
              <w:rPr>
                <w:rFonts w:hint="eastAsia" w:ascii="宋体" w:hAnsi="宋体"/>
                <w:color w:val="auto"/>
                <w:szCs w:val="21"/>
                <w:highlight w:val="none"/>
              </w:rPr>
              <w:t>“庐阳国</w:t>
            </w:r>
            <w:r>
              <w:rPr>
                <w:rFonts w:hint="eastAsia" w:ascii="宋体" w:hAnsi="宋体"/>
                <w:color w:val="auto"/>
                <w:szCs w:val="21"/>
                <w:highlight w:val="none"/>
                <w:lang w:val="en-US" w:eastAsia="zh-CN"/>
              </w:rPr>
              <w:t>控</w:t>
            </w:r>
            <w:r>
              <w:rPr>
                <w:rFonts w:hint="eastAsia" w:ascii="宋体" w:hAnsi="宋体"/>
                <w:color w:val="auto"/>
                <w:szCs w:val="21"/>
                <w:highlight w:val="none"/>
              </w:rPr>
              <w:t>集团”</w:t>
            </w:r>
            <w:r>
              <w:rPr>
                <w:rFonts w:hint="eastAsia" w:ascii="宋体" w:hAnsi="宋体"/>
                <w:color w:val="auto"/>
                <w:szCs w:val="21"/>
                <w:highlight w:val="none"/>
                <w:lang w:eastAsia="zh-CN"/>
              </w:rPr>
              <w:t>官方网站</w:t>
            </w:r>
          </w:p>
        </w:tc>
      </w:tr>
      <w:tr w14:paraId="61C0392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798" w:hRule="atLeast"/>
          <w:jc w:val="center"/>
        </w:trPr>
        <w:tc>
          <w:tcPr>
            <w:tcW w:w="1000" w:type="dxa"/>
            <w:vAlign w:val="center"/>
          </w:tcPr>
          <w:p w14:paraId="410AC9C0">
            <w:pPr>
              <w:spacing w:line="360" w:lineRule="exact"/>
              <w:jc w:val="center"/>
              <w:rPr>
                <w:rFonts w:ascii="宋体" w:hAnsi="宋体" w:cs="宋体"/>
                <w:color w:val="auto"/>
                <w:szCs w:val="21"/>
                <w:highlight w:val="none"/>
              </w:rPr>
            </w:pPr>
            <w:r>
              <w:rPr>
                <w:rFonts w:hint="eastAsia" w:ascii="宋体"/>
                <w:color w:val="auto"/>
                <w:szCs w:val="21"/>
                <w:highlight w:val="none"/>
              </w:rPr>
              <w:t>付款方式要求</w:t>
            </w:r>
          </w:p>
        </w:tc>
        <w:tc>
          <w:tcPr>
            <w:tcW w:w="8562" w:type="dxa"/>
            <w:gridSpan w:val="2"/>
            <w:vAlign w:val="center"/>
          </w:tcPr>
          <w:p w14:paraId="285C2AF3">
            <w:pPr>
              <w:topLinePunct/>
              <w:spacing w:line="400" w:lineRule="exact"/>
              <w:jc w:val="left"/>
              <w:rPr>
                <w:rFonts w:ascii="宋体" w:hAnsi="宋体"/>
                <w:color w:val="auto"/>
                <w:szCs w:val="21"/>
                <w:highlight w:val="none"/>
              </w:rPr>
            </w:pPr>
            <w:r>
              <w:rPr>
                <w:rFonts w:hint="eastAsia" w:ascii="宋体"/>
                <w:b/>
                <w:color w:val="auto"/>
                <w:szCs w:val="21"/>
                <w:highlight w:val="none"/>
              </w:rPr>
              <w:t>评级费用的支付方式为在项目启动前由甲方-次性付清；中标单位必须提供6%增值税专用发票。</w:t>
            </w:r>
          </w:p>
        </w:tc>
      </w:tr>
      <w:tr w14:paraId="6D7DDC7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798" w:hRule="atLeast"/>
          <w:jc w:val="center"/>
        </w:trPr>
        <w:tc>
          <w:tcPr>
            <w:tcW w:w="1000" w:type="dxa"/>
            <w:vAlign w:val="center"/>
          </w:tcPr>
          <w:p w14:paraId="0D64DC10">
            <w:pPr>
              <w:spacing w:line="360" w:lineRule="exact"/>
              <w:jc w:val="center"/>
              <w:rPr>
                <w:rFonts w:ascii="宋体"/>
                <w:color w:val="auto"/>
                <w:szCs w:val="21"/>
                <w:highlight w:val="none"/>
              </w:rPr>
            </w:pPr>
            <w:r>
              <w:rPr>
                <w:rFonts w:hint="eastAsia" w:ascii="宋体"/>
                <w:color w:val="auto"/>
                <w:szCs w:val="21"/>
                <w:highlight w:val="none"/>
              </w:rPr>
              <w:t>同义词语</w:t>
            </w:r>
          </w:p>
        </w:tc>
        <w:tc>
          <w:tcPr>
            <w:tcW w:w="8562" w:type="dxa"/>
            <w:gridSpan w:val="2"/>
            <w:vAlign w:val="center"/>
          </w:tcPr>
          <w:p w14:paraId="21D1B98D">
            <w:pPr>
              <w:topLinePunct/>
              <w:spacing w:line="400" w:lineRule="exact"/>
              <w:jc w:val="left"/>
              <w:rPr>
                <w:rFonts w:ascii="宋体"/>
                <w:bCs/>
                <w:color w:val="auto"/>
                <w:szCs w:val="21"/>
                <w:highlight w:val="none"/>
              </w:rPr>
            </w:pPr>
            <w:r>
              <w:rPr>
                <w:rFonts w:hint="eastAsia" w:ascii="宋体"/>
                <w:bCs/>
                <w:color w:val="auto"/>
                <w:szCs w:val="21"/>
                <w:highlight w:val="none"/>
              </w:rPr>
              <w:t>招标文件第六章投标文件格式等章节中 “招标人”、“投标人”，等同于“采购人”、“供应商”。</w:t>
            </w:r>
          </w:p>
        </w:tc>
      </w:tr>
      <w:tr w14:paraId="65D9850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798" w:hRule="atLeast"/>
          <w:jc w:val="center"/>
        </w:trPr>
        <w:tc>
          <w:tcPr>
            <w:tcW w:w="1000" w:type="dxa"/>
            <w:vAlign w:val="center"/>
          </w:tcPr>
          <w:p w14:paraId="3FF8F2B9">
            <w:pPr>
              <w:spacing w:line="312" w:lineRule="auto"/>
              <w:jc w:val="center"/>
              <w:rPr>
                <w:rFonts w:ascii="宋体" w:hAnsi="宋体" w:cs="宋体"/>
                <w:color w:val="auto"/>
                <w:szCs w:val="21"/>
                <w:highlight w:val="none"/>
              </w:rPr>
            </w:pPr>
            <w:r>
              <w:rPr>
                <w:rFonts w:hint="eastAsia" w:ascii="宋体" w:hAnsi="宋体" w:cs="宋体"/>
                <w:b/>
                <w:bCs/>
                <w:color w:val="auto"/>
                <w:szCs w:val="21"/>
                <w:highlight w:val="none"/>
              </w:rPr>
              <w:t>备注</w:t>
            </w:r>
          </w:p>
        </w:tc>
        <w:tc>
          <w:tcPr>
            <w:tcW w:w="8562" w:type="dxa"/>
            <w:gridSpan w:val="2"/>
            <w:vAlign w:val="center"/>
          </w:tcPr>
          <w:p w14:paraId="2902E843">
            <w:pPr>
              <w:spacing w:line="312" w:lineRule="auto"/>
              <w:rPr>
                <w:rFonts w:ascii="宋体" w:hAnsi="宋体"/>
                <w:color w:val="auto"/>
                <w:szCs w:val="21"/>
                <w:highlight w:val="none"/>
              </w:rPr>
            </w:pPr>
            <w:r>
              <w:rPr>
                <w:rFonts w:hint="eastAsia" w:ascii="宋体" w:hAnsi="宋体"/>
                <w:color w:val="auto"/>
                <w:szCs w:val="21"/>
                <w:highlight w:val="none"/>
              </w:rPr>
              <w:t>1、投标人若为外资企业或法定代表人为非中华人民共和国公民，中标后将投标单位进行网上公示，如有失信行为将取消中标人资格。</w:t>
            </w:r>
          </w:p>
          <w:p w14:paraId="0D791049">
            <w:pPr>
              <w:spacing w:line="312" w:lineRule="auto"/>
              <w:rPr>
                <w:rFonts w:ascii="宋体" w:hAnsi="宋体"/>
                <w:color w:val="auto"/>
                <w:szCs w:val="21"/>
                <w:highlight w:val="none"/>
              </w:rPr>
            </w:pPr>
            <w:r>
              <w:rPr>
                <w:rFonts w:hint="eastAsia" w:ascii="宋体" w:hAnsi="宋体"/>
                <w:color w:val="auto"/>
                <w:szCs w:val="21"/>
                <w:highlight w:val="none"/>
              </w:rPr>
              <w:t>2、本招标文件前后条款若有不一致之处，在澄清答疑时又未作出明确时，各投标人的投标文件只要满足其中任一条款均视为对招标文件的响应。</w:t>
            </w:r>
          </w:p>
          <w:p w14:paraId="6C309E39">
            <w:pPr>
              <w:spacing w:line="312" w:lineRule="auto"/>
              <w:rPr>
                <w:rFonts w:ascii="宋体" w:hAnsi="宋体"/>
                <w:color w:val="auto"/>
                <w:szCs w:val="21"/>
                <w:highlight w:val="none"/>
              </w:rPr>
            </w:pPr>
            <w:r>
              <w:rPr>
                <w:rFonts w:hint="eastAsia" w:ascii="宋体" w:hAnsi="宋体"/>
                <w:color w:val="auto"/>
                <w:szCs w:val="21"/>
                <w:highlight w:val="none"/>
              </w:rPr>
              <w:t>3、评标委员会只依靠投标人递交的投标文件及其按照招标文件要求提供的所有证明材料进行评审，而不依靠任何外来的证明材料。</w:t>
            </w:r>
          </w:p>
          <w:p w14:paraId="09E4C050">
            <w:pPr>
              <w:spacing w:line="312" w:lineRule="auto"/>
              <w:rPr>
                <w:rFonts w:ascii="宋体" w:hAnsi="宋体"/>
                <w:color w:val="auto"/>
                <w:szCs w:val="21"/>
                <w:highlight w:val="none"/>
              </w:rPr>
            </w:pPr>
            <w:r>
              <w:rPr>
                <w:rFonts w:hint="eastAsia" w:ascii="宋体" w:hAnsi="宋体"/>
                <w:color w:val="auto"/>
                <w:szCs w:val="21"/>
                <w:highlight w:val="none"/>
              </w:rPr>
              <w:t>4、投标人未按招标文件要求递交投标文件的，将拒绝投标人投标。本招标文件中如有与本条内容不一致之处，按此条规定执行。</w:t>
            </w:r>
          </w:p>
          <w:p w14:paraId="3C59F468">
            <w:pPr>
              <w:spacing w:line="312" w:lineRule="auto"/>
              <w:rPr>
                <w:rFonts w:ascii="宋体" w:hAnsi="宋体"/>
                <w:color w:val="auto"/>
                <w:szCs w:val="21"/>
                <w:highlight w:val="none"/>
              </w:rPr>
            </w:pPr>
            <w:r>
              <w:rPr>
                <w:rFonts w:hint="eastAsia" w:ascii="宋体" w:hAnsi="宋体"/>
                <w:color w:val="auto"/>
                <w:szCs w:val="21"/>
                <w:highlight w:val="none"/>
              </w:rPr>
              <w:t xml:space="preserve">5、本招标文件条款内容解释权在法律规定的范围内归招标人所有。 </w:t>
            </w:r>
          </w:p>
        </w:tc>
      </w:tr>
    </w:tbl>
    <w:p w14:paraId="6A4AACC7">
      <w:pPr>
        <w:pageBreakBefore/>
        <w:spacing w:beforeLines="100" w:afterLines="100" w:line="360" w:lineRule="auto"/>
        <w:ind w:firstLine="3626" w:firstLineChars="1290"/>
        <w:outlineLvl w:val="0"/>
        <w:rPr>
          <w:rFonts w:ascii="宋体" w:hAnsi="宋体"/>
          <w:b/>
          <w:color w:val="auto"/>
          <w:sz w:val="28"/>
          <w:szCs w:val="32"/>
          <w:highlight w:val="none"/>
        </w:rPr>
      </w:pPr>
      <w:bookmarkStart w:id="39" w:name="_Toc8730"/>
      <w:bookmarkStart w:id="40" w:name="_Toc21014"/>
      <w:r>
        <w:rPr>
          <w:rFonts w:hint="eastAsia" w:ascii="宋体" w:hAnsi="宋体"/>
          <w:b/>
          <w:color w:val="auto"/>
          <w:sz w:val="28"/>
          <w:szCs w:val="28"/>
          <w:highlight w:val="none"/>
        </w:rPr>
        <w:t>二、投标须知</w:t>
      </w:r>
      <w:bookmarkEnd w:id="39"/>
      <w:bookmarkEnd w:id="40"/>
    </w:p>
    <w:p w14:paraId="192ACC57">
      <w:pPr>
        <w:spacing w:line="360" w:lineRule="auto"/>
        <w:jc w:val="center"/>
        <w:rPr>
          <w:rFonts w:ascii="宋体" w:hAnsi="宋体"/>
          <w:color w:val="auto"/>
          <w:sz w:val="28"/>
          <w:szCs w:val="28"/>
          <w:highlight w:val="none"/>
        </w:rPr>
      </w:pPr>
      <w:r>
        <w:rPr>
          <w:rFonts w:hint="eastAsia" w:ascii="宋体" w:hAnsi="宋体"/>
          <w:b/>
          <w:color w:val="auto"/>
          <w:sz w:val="28"/>
          <w:szCs w:val="28"/>
          <w:highlight w:val="none"/>
        </w:rPr>
        <w:t>（一）</w:t>
      </w:r>
      <w:r>
        <w:rPr>
          <w:rFonts w:hint="eastAsia" w:ascii="宋体" w:hAnsi="宋体"/>
          <w:b/>
          <w:color w:val="auto"/>
          <w:sz w:val="28"/>
          <w:szCs w:val="32"/>
          <w:highlight w:val="none"/>
        </w:rPr>
        <w:t>总  则</w:t>
      </w:r>
    </w:p>
    <w:p w14:paraId="51296F75">
      <w:pPr>
        <w:snapToGrid w:val="0"/>
        <w:spacing w:line="400" w:lineRule="exact"/>
        <w:ind w:firstLine="422" w:firstLineChars="200"/>
        <w:rPr>
          <w:rFonts w:ascii="宋体" w:hAnsi="宋体"/>
          <w:b/>
          <w:color w:val="auto"/>
          <w:szCs w:val="21"/>
          <w:highlight w:val="none"/>
        </w:rPr>
      </w:pPr>
      <w:r>
        <w:rPr>
          <w:rFonts w:hint="eastAsia" w:ascii="宋体" w:hAnsi="宋体"/>
          <w:b/>
          <w:color w:val="auto"/>
          <w:szCs w:val="21"/>
          <w:highlight w:val="none"/>
        </w:rPr>
        <w:t>1.项目概况</w:t>
      </w:r>
    </w:p>
    <w:p w14:paraId="67DFC959">
      <w:pPr>
        <w:widowControl w:val="0"/>
        <w:snapToGrid w:val="0"/>
        <w:spacing w:line="480" w:lineRule="exact"/>
        <w:ind w:firstLine="420" w:firstLineChars="200"/>
        <w:textAlignment w:val="auto"/>
        <w:rPr>
          <w:rFonts w:ascii="宋体" w:hAnsi="宋体"/>
          <w:color w:val="auto"/>
          <w:kern w:val="2"/>
          <w:szCs w:val="21"/>
          <w:highlight w:val="none"/>
        </w:rPr>
      </w:pPr>
      <w:r>
        <w:rPr>
          <w:rFonts w:hint="eastAsia" w:ascii="宋体" w:hAnsi="宋体"/>
          <w:color w:val="auto"/>
          <w:kern w:val="2"/>
          <w:szCs w:val="21"/>
          <w:highlight w:val="none"/>
        </w:rPr>
        <w:t>1.1本次招标采购项目名称：见投标人须知前附表。</w:t>
      </w:r>
    </w:p>
    <w:p w14:paraId="7CF54537">
      <w:pPr>
        <w:widowControl w:val="0"/>
        <w:snapToGrid w:val="0"/>
        <w:spacing w:line="480" w:lineRule="exact"/>
        <w:ind w:firstLine="1890" w:firstLineChars="900"/>
        <w:textAlignment w:val="auto"/>
        <w:rPr>
          <w:rFonts w:ascii="宋体" w:hAnsi="宋体"/>
          <w:color w:val="auto"/>
          <w:kern w:val="2"/>
          <w:szCs w:val="21"/>
          <w:highlight w:val="none"/>
        </w:rPr>
      </w:pPr>
      <w:r>
        <w:rPr>
          <w:rFonts w:hint="eastAsia" w:ascii="宋体" w:hAnsi="宋体"/>
          <w:color w:val="auto"/>
          <w:kern w:val="2"/>
          <w:szCs w:val="21"/>
          <w:highlight w:val="none"/>
        </w:rPr>
        <w:t>服务期限 ：见投标人须知前附表。</w:t>
      </w:r>
    </w:p>
    <w:p w14:paraId="16A4785A">
      <w:pPr>
        <w:widowControl w:val="0"/>
        <w:snapToGrid w:val="0"/>
        <w:spacing w:line="480" w:lineRule="exact"/>
        <w:ind w:firstLine="1890" w:firstLineChars="900"/>
        <w:textAlignment w:val="auto"/>
        <w:rPr>
          <w:rFonts w:ascii="宋体" w:hAnsi="宋体"/>
          <w:color w:val="auto"/>
          <w:kern w:val="2"/>
          <w:szCs w:val="21"/>
          <w:highlight w:val="none"/>
        </w:rPr>
      </w:pPr>
      <w:r>
        <w:rPr>
          <w:rFonts w:hint="eastAsia" w:ascii="宋体" w:hAnsi="宋体"/>
          <w:color w:val="auto"/>
          <w:kern w:val="2"/>
          <w:szCs w:val="21"/>
          <w:highlight w:val="none"/>
        </w:rPr>
        <w:t>服务地点：见投标人须知前附表。</w:t>
      </w:r>
    </w:p>
    <w:p w14:paraId="24354D91">
      <w:pPr>
        <w:widowControl w:val="0"/>
        <w:snapToGrid w:val="0"/>
        <w:spacing w:line="480" w:lineRule="exact"/>
        <w:ind w:firstLine="420" w:firstLineChars="200"/>
        <w:textAlignment w:val="auto"/>
        <w:rPr>
          <w:color w:val="auto"/>
          <w:szCs w:val="21"/>
          <w:highlight w:val="none"/>
        </w:rPr>
      </w:pPr>
      <w:r>
        <w:rPr>
          <w:rFonts w:hint="eastAsia" w:ascii="宋体" w:hAnsi="宋体"/>
          <w:color w:val="auto"/>
          <w:kern w:val="2"/>
          <w:szCs w:val="21"/>
          <w:highlight w:val="none"/>
        </w:rPr>
        <w:t xml:space="preserve">              服务方式：见投标人须知前附表。</w:t>
      </w:r>
    </w:p>
    <w:p w14:paraId="777DA219">
      <w:pPr>
        <w:widowControl w:val="0"/>
        <w:snapToGrid w:val="0"/>
        <w:spacing w:line="480" w:lineRule="exact"/>
        <w:ind w:firstLine="420" w:firstLineChars="200"/>
        <w:textAlignment w:val="auto"/>
        <w:rPr>
          <w:rFonts w:ascii="宋体" w:hAnsi="宋体"/>
          <w:color w:val="auto"/>
          <w:kern w:val="2"/>
          <w:szCs w:val="21"/>
          <w:highlight w:val="none"/>
        </w:rPr>
      </w:pPr>
      <w:r>
        <w:rPr>
          <w:rFonts w:hint="eastAsia" w:ascii="宋体" w:hAnsi="宋体"/>
          <w:color w:val="auto"/>
          <w:kern w:val="2"/>
          <w:szCs w:val="21"/>
          <w:highlight w:val="none"/>
        </w:rPr>
        <w:t>1.2招标人及联系人: 见投标人须知前附表。</w:t>
      </w:r>
    </w:p>
    <w:p w14:paraId="6443C0C0">
      <w:pPr>
        <w:widowControl w:val="0"/>
        <w:snapToGrid w:val="0"/>
        <w:spacing w:line="480" w:lineRule="exact"/>
        <w:ind w:firstLine="420" w:firstLineChars="200"/>
        <w:textAlignment w:val="auto"/>
        <w:rPr>
          <w:rFonts w:ascii="宋体" w:hAnsi="宋体"/>
          <w:color w:val="auto"/>
          <w:kern w:val="2"/>
          <w:szCs w:val="21"/>
          <w:highlight w:val="none"/>
        </w:rPr>
      </w:pPr>
      <w:r>
        <w:rPr>
          <w:rFonts w:hint="eastAsia" w:ascii="宋体" w:hAnsi="宋体"/>
          <w:color w:val="auto"/>
          <w:kern w:val="2"/>
          <w:szCs w:val="21"/>
          <w:highlight w:val="none"/>
        </w:rPr>
        <w:t>1.3资金来源：见投标人须知前附表。</w:t>
      </w:r>
    </w:p>
    <w:p w14:paraId="155CB7B8">
      <w:pPr>
        <w:widowControl w:val="0"/>
        <w:snapToGrid w:val="0"/>
        <w:spacing w:line="480" w:lineRule="exact"/>
        <w:ind w:firstLine="420" w:firstLineChars="200"/>
        <w:textAlignment w:val="auto"/>
        <w:rPr>
          <w:rFonts w:ascii="宋体" w:hAnsi="宋体"/>
          <w:color w:val="auto"/>
          <w:kern w:val="2"/>
          <w:szCs w:val="21"/>
          <w:highlight w:val="none"/>
        </w:rPr>
      </w:pPr>
      <w:r>
        <w:rPr>
          <w:rFonts w:hint="eastAsia" w:ascii="宋体" w:hAnsi="宋体"/>
          <w:color w:val="auto"/>
          <w:kern w:val="2"/>
          <w:szCs w:val="21"/>
          <w:highlight w:val="none"/>
        </w:rPr>
        <w:t>1.4本项目预算：见投标人须知前附表。</w:t>
      </w:r>
    </w:p>
    <w:p w14:paraId="4F1758CB">
      <w:pPr>
        <w:widowControl w:val="0"/>
        <w:snapToGrid w:val="0"/>
        <w:spacing w:line="480" w:lineRule="exact"/>
        <w:ind w:firstLine="420" w:firstLineChars="200"/>
        <w:textAlignment w:val="auto"/>
        <w:rPr>
          <w:rFonts w:ascii="宋体" w:hAnsi="宋体"/>
          <w:color w:val="auto"/>
          <w:kern w:val="2"/>
          <w:szCs w:val="21"/>
          <w:highlight w:val="none"/>
        </w:rPr>
      </w:pPr>
      <w:r>
        <w:rPr>
          <w:rFonts w:hint="eastAsia" w:ascii="宋体" w:hAnsi="宋体"/>
          <w:color w:val="auto"/>
          <w:szCs w:val="21"/>
          <w:highlight w:val="none"/>
        </w:rPr>
        <w:t>1.5本项目最高限价：见投标人须知前附表。</w:t>
      </w:r>
    </w:p>
    <w:p w14:paraId="774F63A7">
      <w:pPr>
        <w:snapToGrid w:val="0"/>
        <w:spacing w:line="400" w:lineRule="exact"/>
        <w:ind w:firstLine="422" w:firstLineChars="200"/>
        <w:rPr>
          <w:rFonts w:ascii="宋体" w:hAnsi="宋体"/>
          <w:b/>
          <w:color w:val="auto"/>
          <w:szCs w:val="21"/>
          <w:highlight w:val="none"/>
        </w:rPr>
      </w:pPr>
      <w:r>
        <w:rPr>
          <w:rFonts w:hint="eastAsia" w:ascii="宋体" w:hAnsi="宋体"/>
          <w:b/>
          <w:color w:val="auto"/>
          <w:szCs w:val="21"/>
          <w:highlight w:val="none"/>
        </w:rPr>
        <w:t>2.招标范围：</w:t>
      </w:r>
    </w:p>
    <w:p w14:paraId="154D48A2">
      <w:pPr>
        <w:widowControl w:val="0"/>
        <w:spacing w:line="420" w:lineRule="exact"/>
        <w:ind w:firstLine="420" w:firstLineChars="200"/>
        <w:textAlignment w:val="auto"/>
        <w:rPr>
          <w:rFonts w:ascii="宋体" w:hAnsi="宋体"/>
          <w:color w:val="auto"/>
          <w:kern w:val="2"/>
          <w:szCs w:val="21"/>
          <w:highlight w:val="none"/>
        </w:rPr>
      </w:pPr>
      <w:r>
        <w:rPr>
          <w:rFonts w:hint="eastAsia" w:ascii="宋体" w:hAnsi="宋体"/>
          <w:color w:val="auto"/>
          <w:kern w:val="2"/>
          <w:szCs w:val="21"/>
          <w:highlight w:val="none"/>
        </w:rPr>
        <w:t>2.1 采购内容：见投标人须知前附表。</w:t>
      </w:r>
    </w:p>
    <w:p w14:paraId="464B7EC8">
      <w:pPr>
        <w:widowControl w:val="0"/>
        <w:spacing w:line="420" w:lineRule="exact"/>
        <w:ind w:firstLine="420" w:firstLineChars="200"/>
        <w:textAlignment w:val="auto"/>
        <w:rPr>
          <w:rFonts w:ascii="宋体" w:hAnsi="宋体"/>
          <w:color w:val="auto"/>
          <w:kern w:val="2"/>
          <w:szCs w:val="21"/>
          <w:highlight w:val="none"/>
        </w:rPr>
      </w:pPr>
      <w:r>
        <w:rPr>
          <w:rFonts w:hint="eastAsia" w:ascii="宋体" w:hAnsi="宋体"/>
          <w:color w:val="auto"/>
          <w:szCs w:val="21"/>
          <w:highlight w:val="none"/>
        </w:rPr>
        <w:t>2.2 技术要求：详见招标文件第四章采购需求及要求。</w:t>
      </w:r>
    </w:p>
    <w:p w14:paraId="141795A0">
      <w:pPr>
        <w:snapToGrid w:val="0"/>
        <w:spacing w:line="400" w:lineRule="exact"/>
        <w:ind w:firstLine="422" w:firstLineChars="200"/>
        <w:rPr>
          <w:rFonts w:ascii="宋体" w:hAnsi="宋体"/>
          <w:b/>
          <w:color w:val="auto"/>
          <w:szCs w:val="21"/>
          <w:highlight w:val="none"/>
        </w:rPr>
      </w:pPr>
      <w:r>
        <w:rPr>
          <w:rFonts w:hint="eastAsia" w:ascii="宋体" w:hAnsi="宋体"/>
          <w:b/>
          <w:color w:val="auto"/>
          <w:szCs w:val="21"/>
          <w:highlight w:val="none"/>
        </w:rPr>
        <w:t>3.标段划分：</w:t>
      </w:r>
    </w:p>
    <w:p w14:paraId="52D3A5BB">
      <w:pPr>
        <w:widowControl w:val="0"/>
        <w:spacing w:line="420" w:lineRule="exact"/>
        <w:ind w:firstLine="420" w:firstLineChars="200"/>
        <w:textAlignment w:val="auto"/>
        <w:rPr>
          <w:rFonts w:ascii="宋体" w:hAnsi="宋体"/>
          <w:color w:val="auto"/>
          <w:kern w:val="2"/>
          <w:szCs w:val="21"/>
          <w:highlight w:val="none"/>
        </w:rPr>
      </w:pPr>
      <w:r>
        <w:rPr>
          <w:rFonts w:hint="eastAsia" w:ascii="宋体" w:hAnsi="宋体"/>
          <w:color w:val="auto"/>
          <w:kern w:val="2"/>
          <w:szCs w:val="21"/>
          <w:highlight w:val="none"/>
        </w:rPr>
        <w:t>3.1本项目划分：</w:t>
      </w:r>
      <w:r>
        <w:rPr>
          <w:rFonts w:hint="eastAsia" w:ascii="宋体" w:hAnsi="宋体"/>
          <w:color w:val="auto"/>
          <w:kern w:val="2"/>
          <w:szCs w:val="21"/>
          <w:highlight w:val="none"/>
          <w:u w:val="single"/>
        </w:rPr>
        <w:t xml:space="preserve"> 一 </w:t>
      </w:r>
      <w:r>
        <w:rPr>
          <w:rFonts w:hint="eastAsia" w:ascii="宋体" w:hAnsi="宋体"/>
          <w:color w:val="auto"/>
          <w:kern w:val="2"/>
          <w:szCs w:val="21"/>
          <w:highlight w:val="none"/>
        </w:rPr>
        <w:t>个标段</w:t>
      </w:r>
    </w:p>
    <w:p w14:paraId="2550E073">
      <w:pPr>
        <w:widowControl w:val="0"/>
        <w:spacing w:line="420" w:lineRule="exact"/>
        <w:ind w:firstLine="422" w:firstLineChars="200"/>
        <w:textAlignment w:val="auto"/>
        <w:rPr>
          <w:rFonts w:ascii="宋体" w:hAnsi="宋体"/>
          <w:b/>
          <w:color w:val="auto"/>
          <w:kern w:val="2"/>
          <w:szCs w:val="21"/>
          <w:highlight w:val="none"/>
        </w:rPr>
      </w:pPr>
      <w:r>
        <w:rPr>
          <w:rFonts w:hint="eastAsia" w:ascii="宋体" w:hAnsi="宋体"/>
          <w:b/>
          <w:color w:val="auto"/>
          <w:kern w:val="2"/>
          <w:szCs w:val="21"/>
          <w:highlight w:val="none"/>
        </w:rPr>
        <w:t>4.招标方式：</w:t>
      </w:r>
    </w:p>
    <w:p w14:paraId="6AAA7E44">
      <w:pPr>
        <w:widowControl w:val="0"/>
        <w:spacing w:line="420" w:lineRule="exact"/>
        <w:ind w:firstLine="420" w:firstLineChars="200"/>
        <w:textAlignment w:val="auto"/>
        <w:rPr>
          <w:rFonts w:ascii="宋体" w:hAnsi="宋体"/>
          <w:color w:val="auto"/>
          <w:kern w:val="2"/>
          <w:szCs w:val="21"/>
          <w:highlight w:val="none"/>
        </w:rPr>
      </w:pPr>
      <w:r>
        <w:rPr>
          <w:rFonts w:hint="eastAsia" w:ascii="宋体" w:hAnsi="宋体"/>
          <w:color w:val="auto"/>
          <w:kern w:val="2"/>
          <w:szCs w:val="21"/>
          <w:highlight w:val="none"/>
        </w:rPr>
        <w:t>4.1本项目招标方式：见投标人须知前附表。</w:t>
      </w:r>
    </w:p>
    <w:p w14:paraId="63D02D6C">
      <w:pPr>
        <w:widowControl w:val="0"/>
        <w:spacing w:line="420" w:lineRule="exact"/>
        <w:ind w:firstLine="422" w:firstLineChars="200"/>
        <w:textAlignment w:val="auto"/>
        <w:rPr>
          <w:rFonts w:ascii="宋体" w:hAnsi="宋体"/>
          <w:b/>
          <w:color w:val="auto"/>
          <w:kern w:val="2"/>
          <w:szCs w:val="21"/>
          <w:highlight w:val="none"/>
        </w:rPr>
      </w:pPr>
      <w:r>
        <w:rPr>
          <w:rFonts w:hint="eastAsia" w:ascii="宋体" w:hAnsi="宋体"/>
          <w:b/>
          <w:color w:val="auto"/>
          <w:kern w:val="2"/>
          <w:szCs w:val="21"/>
          <w:highlight w:val="none"/>
        </w:rPr>
        <w:t>5.计价方式：</w:t>
      </w:r>
    </w:p>
    <w:p w14:paraId="19083AF2">
      <w:pPr>
        <w:widowControl w:val="0"/>
        <w:spacing w:line="420" w:lineRule="exact"/>
        <w:ind w:right="-512" w:rightChars="-244" w:firstLine="420" w:firstLineChars="200"/>
        <w:textAlignment w:val="auto"/>
        <w:rPr>
          <w:rFonts w:ascii="宋体" w:hAnsi="宋体"/>
          <w:color w:val="auto"/>
          <w:kern w:val="2"/>
          <w:szCs w:val="21"/>
          <w:highlight w:val="none"/>
        </w:rPr>
      </w:pPr>
      <w:r>
        <w:rPr>
          <w:rFonts w:ascii="宋体" w:hAnsi="宋体"/>
          <w:color w:val="auto"/>
          <w:kern w:val="2"/>
          <w:szCs w:val="21"/>
          <w:highlight w:val="none"/>
        </w:rPr>
        <w:t>5.1</w:t>
      </w:r>
      <w:r>
        <w:rPr>
          <w:rFonts w:hint="eastAsia" w:ascii="宋体" w:hAnsi="宋体"/>
          <w:color w:val="auto"/>
          <w:kern w:val="2"/>
          <w:szCs w:val="21"/>
          <w:highlight w:val="none"/>
        </w:rPr>
        <w:t>本次招标项目合同采用</w:t>
      </w:r>
      <w:r>
        <w:rPr>
          <w:rFonts w:hint="eastAsia" w:ascii="宋体" w:hAnsi="宋体"/>
          <w:color w:val="auto"/>
          <w:kern w:val="2"/>
          <w:szCs w:val="21"/>
          <w:highlight w:val="none"/>
          <w:u w:val="single"/>
        </w:rPr>
        <w:t xml:space="preserve">  </w:t>
      </w:r>
      <w:r>
        <w:rPr>
          <w:rFonts w:hint="eastAsia" w:ascii="宋体" w:hAnsi="宋体"/>
          <w:color w:val="auto"/>
          <w:kern w:val="2"/>
          <w:szCs w:val="21"/>
          <w:highlight w:val="none"/>
          <w:u w:val="single"/>
          <w:lang w:eastAsia="zh-CN"/>
        </w:rPr>
        <w:t>总价报价</w:t>
      </w:r>
      <w:r>
        <w:rPr>
          <w:rFonts w:hint="eastAsia" w:ascii="宋体" w:hAnsi="宋体"/>
          <w:color w:val="auto"/>
          <w:kern w:val="2"/>
          <w:szCs w:val="21"/>
          <w:highlight w:val="none"/>
          <w:u w:val="single"/>
        </w:rPr>
        <w:t xml:space="preserve"> </w:t>
      </w:r>
      <w:r>
        <w:rPr>
          <w:rFonts w:hint="eastAsia" w:ascii="宋体" w:hAnsi="宋体"/>
          <w:b/>
          <w:color w:val="0000FF"/>
          <w:sz w:val="24"/>
          <w:highlight w:val="none"/>
          <w:u w:val="single"/>
        </w:rPr>
        <w:t xml:space="preserve"> </w:t>
      </w:r>
      <w:r>
        <w:rPr>
          <w:rFonts w:hint="eastAsia" w:ascii="宋体" w:hAnsi="宋体"/>
          <w:color w:val="auto"/>
          <w:kern w:val="2"/>
          <w:szCs w:val="21"/>
          <w:highlight w:val="none"/>
        </w:rPr>
        <w:t>。</w:t>
      </w:r>
    </w:p>
    <w:p w14:paraId="16265356">
      <w:pPr>
        <w:widowControl w:val="0"/>
        <w:spacing w:line="420" w:lineRule="exact"/>
        <w:ind w:firstLine="422" w:firstLineChars="200"/>
        <w:textAlignment w:val="auto"/>
        <w:rPr>
          <w:rFonts w:ascii="宋体" w:hAnsi="宋体"/>
          <w:b/>
          <w:color w:val="auto"/>
          <w:kern w:val="2"/>
          <w:szCs w:val="21"/>
          <w:highlight w:val="none"/>
        </w:rPr>
      </w:pPr>
      <w:r>
        <w:rPr>
          <w:rFonts w:hint="eastAsia" w:ascii="宋体" w:hAnsi="宋体"/>
          <w:b/>
          <w:color w:val="auto"/>
          <w:kern w:val="2"/>
          <w:szCs w:val="21"/>
          <w:highlight w:val="none"/>
        </w:rPr>
        <w:t>6.评标办法：</w:t>
      </w:r>
    </w:p>
    <w:p w14:paraId="1D1ED510">
      <w:pPr>
        <w:widowControl w:val="0"/>
        <w:spacing w:line="420" w:lineRule="exact"/>
        <w:ind w:firstLine="420" w:firstLineChars="200"/>
        <w:textAlignment w:val="auto"/>
        <w:rPr>
          <w:rFonts w:ascii="宋体" w:hAnsi="宋体"/>
          <w:color w:val="auto"/>
          <w:kern w:val="2"/>
          <w:szCs w:val="21"/>
          <w:highlight w:val="none"/>
        </w:rPr>
      </w:pPr>
      <w:r>
        <w:rPr>
          <w:rFonts w:hint="eastAsia" w:ascii="宋体" w:hAnsi="宋体"/>
          <w:color w:val="auto"/>
          <w:kern w:val="2"/>
          <w:szCs w:val="21"/>
          <w:highlight w:val="none"/>
        </w:rPr>
        <w:t>6.1本次招标评标采用</w:t>
      </w:r>
      <w:r>
        <w:rPr>
          <w:rFonts w:hint="eastAsia" w:ascii="宋体" w:hAnsi="宋体"/>
          <w:color w:val="auto"/>
          <w:kern w:val="2"/>
          <w:szCs w:val="21"/>
          <w:highlight w:val="none"/>
          <w:u w:val="single"/>
        </w:rPr>
        <w:t xml:space="preserve"> 综合评分法 </w:t>
      </w:r>
      <w:r>
        <w:rPr>
          <w:rFonts w:hint="eastAsia" w:ascii="宋体" w:hAnsi="宋体"/>
          <w:color w:val="auto"/>
          <w:kern w:val="2"/>
          <w:szCs w:val="21"/>
          <w:highlight w:val="none"/>
        </w:rPr>
        <w:t>（详见第三章评标办法）</w:t>
      </w:r>
    </w:p>
    <w:p w14:paraId="5574BE6B">
      <w:pPr>
        <w:widowControl w:val="0"/>
        <w:spacing w:line="420" w:lineRule="exact"/>
        <w:ind w:firstLine="422" w:firstLineChars="200"/>
        <w:textAlignment w:val="auto"/>
        <w:rPr>
          <w:rFonts w:ascii="宋体" w:hAnsi="宋体"/>
          <w:b/>
          <w:color w:val="auto"/>
          <w:kern w:val="2"/>
          <w:szCs w:val="21"/>
          <w:highlight w:val="none"/>
        </w:rPr>
      </w:pPr>
      <w:r>
        <w:rPr>
          <w:rFonts w:hint="eastAsia" w:ascii="宋体" w:hAnsi="宋体"/>
          <w:b/>
          <w:color w:val="auto"/>
          <w:kern w:val="2"/>
          <w:szCs w:val="21"/>
          <w:highlight w:val="none"/>
        </w:rPr>
        <w:t>7.投标人资格：</w:t>
      </w:r>
    </w:p>
    <w:p w14:paraId="35FBDD54">
      <w:pPr>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7.1参与采购活动的投标人必须是满足相关法律法规规定条件的法人、其他组织或者自然人。</w:t>
      </w:r>
    </w:p>
    <w:p w14:paraId="64702217">
      <w:pPr>
        <w:snapToGrid w:val="0"/>
        <w:spacing w:line="38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7.2由于采购项目的差异性，投标人在参与具体采购项目活动时，应仔细阅读该项目的资质要求,具体见投标人须知前附表。</w:t>
      </w:r>
    </w:p>
    <w:p w14:paraId="500AB294">
      <w:pPr>
        <w:widowControl w:val="0"/>
        <w:spacing w:line="420" w:lineRule="exact"/>
        <w:ind w:firstLine="422" w:firstLineChars="200"/>
        <w:textAlignment w:val="auto"/>
        <w:rPr>
          <w:rFonts w:ascii="宋体" w:hAnsi="宋体"/>
          <w:b/>
          <w:color w:val="auto"/>
          <w:kern w:val="2"/>
          <w:szCs w:val="21"/>
          <w:highlight w:val="none"/>
        </w:rPr>
      </w:pPr>
      <w:r>
        <w:rPr>
          <w:rFonts w:hint="eastAsia" w:ascii="宋体" w:hAnsi="宋体"/>
          <w:b/>
          <w:color w:val="auto"/>
          <w:kern w:val="2"/>
          <w:szCs w:val="21"/>
          <w:highlight w:val="none"/>
        </w:rPr>
        <w:t>8. 投标费用</w:t>
      </w:r>
    </w:p>
    <w:p w14:paraId="30ACE26C">
      <w:pPr>
        <w:widowControl w:val="0"/>
        <w:spacing w:line="420" w:lineRule="exact"/>
        <w:ind w:firstLine="420" w:firstLineChars="200"/>
        <w:textAlignment w:val="auto"/>
        <w:rPr>
          <w:rFonts w:ascii="宋体" w:hAnsi="宋体"/>
          <w:color w:val="auto"/>
          <w:kern w:val="2"/>
          <w:szCs w:val="21"/>
          <w:highlight w:val="none"/>
        </w:rPr>
      </w:pPr>
      <w:r>
        <w:rPr>
          <w:rFonts w:hint="eastAsia" w:ascii="宋体" w:hAnsi="宋体"/>
          <w:color w:val="auto"/>
          <w:kern w:val="2"/>
          <w:szCs w:val="21"/>
          <w:highlight w:val="none"/>
        </w:rPr>
        <w:t>8.1投标人准备和参加投标活动发生的费用自理。</w:t>
      </w:r>
    </w:p>
    <w:p w14:paraId="2079908D">
      <w:pPr>
        <w:widowControl w:val="0"/>
        <w:spacing w:line="420" w:lineRule="exact"/>
        <w:ind w:firstLine="422" w:firstLineChars="200"/>
        <w:textAlignment w:val="auto"/>
        <w:rPr>
          <w:rFonts w:ascii="宋体" w:hAnsi="宋体"/>
          <w:b/>
          <w:color w:val="auto"/>
          <w:kern w:val="2"/>
          <w:szCs w:val="21"/>
          <w:highlight w:val="none"/>
        </w:rPr>
      </w:pPr>
      <w:r>
        <w:rPr>
          <w:rFonts w:hint="eastAsia" w:ascii="宋体" w:hAnsi="宋体"/>
          <w:b/>
          <w:color w:val="auto"/>
          <w:kern w:val="2"/>
          <w:szCs w:val="21"/>
          <w:highlight w:val="none"/>
        </w:rPr>
        <w:t>9.</w:t>
      </w:r>
      <w:bookmarkStart w:id="41" w:name="_Toc144974507"/>
      <w:bookmarkStart w:id="42" w:name="_Toc152042315"/>
      <w:bookmarkStart w:id="43" w:name="_Toc247592876"/>
      <w:bookmarkStart w:id="44" w:name="_Toc247513962"/>
      <w:bookmarkStart w:id="45" w:name="_Toc296602429"/>
      <w:bookmarkStart w:id="46" w:name="_Toc247527563"/>
      <w:bookmarkStart w:id="47" w:name="_Toc152045539"/>
      <w:r>
        <w:rPr>
          <w:rFonts w:hint="eastAsia" w:ascii="宋体" w:hAnsi="宋体"/>
          <w:b/>
          <w:color w:val="auto"/>
          <w:kern w:val="2"/>
          <w:szCs w:val="21"/>
          <w:highlight w:val="none"/>
        </w:rPr>
        <w:t xml:space="preserve"> 踏勘现场</w:t>
      </w:r>
      <w:bookmarkEnd w:id="41"/>
      <w:bookmarkEnd w:id="42"/>
      <w:bookmarkEnd w:id="43"/>
      <w:bookmarkEnd w:id="44"/>
      <w:bookmarkEnd w:id="45"/>
      <w:bookmarkEnd w:id="46"/>
      <w:bookmarkEnd w:id="47"/>
      <w:r>
        <w:rPr>
          <w:rFonts w:hint="eastAsia"/>
          <w:b/>
          <w:color w:val="auto"/>
          <w:szCs w:val="21"/>
          <w:highlight w:val="none"/>
        </w:rPr>
        <w:t>（本条不采用）</w:t>
      </w:r>
    </w:p>
    <w:p w14:paraId="58187786">
      <w:pPr>
        <w:widowControl w:val="0"/>
        <w:spacing w:line="420" w:lineRule="exact"/>
        <w:ind w:firstLine="420" w:firstLineChars="200"/>
        <w:textAlignment w:val="auto"/>
        <w:rPr>
          <w:rFonts w:ascii="宋体" w:hAnsi="宋体"/>
          <w:color w:val="auto"/>
          <w:kern w:val="2"/>
          <w:szCs w:val="21"/>
          <w:highlight w:val="none"/>
        </w:rPr>
      </w:pPr>
      <w:r>
        <w:rPr>
          <w:rFonts w:hint="eastAsia" w:ascii="宋体" w:hAnsi="宋体"/>
          <w:color w:val="auto"/>
          <w:kern w:val="2"/>
          <w:szCs w:val="21"/>
          <w:highlight w:val="none"/>
        </w:rPr>
        <w:t xml:space="preserve">9.1 </w:t>
      </w:r>
      <w:bookmarkStart w:id="48" w:name="_Toc152042316"/>
      <w:bookmarkStart w:id="49" w:name="_Toc247527564"/>
      <w:bookmarkStart w:id="50" w:name="_Toc247592877"/>
      <w:bookmarkStart w:id="51" w:name="_Toc296602430"/>
      <w:bookmarkStart w:id="52" w:name="_Toc152045540"/>
      <w:bookmarkStart w:id="53" w:name="_Toc144974508"/>
      <w:bookmarkStart w:id="54" w:name="_Toc247513963"/>
      <w:r>
        <w:rPr>
          <w:rFonts w:hint="eastAsia" w:ascii="宋体" w:hAnsi="宋体"/>
          <w:color w:val="auto"/>
          <w:kern w:val="2"/>
          <w:szCs w:val="21"/>
          <w:highlight w:val="none"/>
        </w:rPr>
        <w:t>招标人不组织踏勘现场。</w:t>
      </w:r>
    </w:p>
    <w:bookmarkEnd w:id="48"/>
    <w:bookmarkEnd w:id="49"/>
    <w:bookmarkEnd w:id="50"/>
    <w:bookmarkEnd w:id="51"/>
    <w:bookmarkEnd w:id="52"/>
    <w:bookmarkEnd w:id="53"/>
    <w:bookmarkEnd w:id="54"/>
    <w:p w14:paraId="0B4C4796">
      <w:pPr>
        <w:spacing w:line="440" w:lineRule="exact"/>
        <w:ind w:firstLine="422" w:firstLineChars="200"/>
        <w:rPr>
          <w:b/>
          <w:color w:val="auto"/>
          <w:szCs w:val="21"/>
          <w:highlight w:val="none"/>
        </w:rPr>
      </w:pPr>
      <w:r>
        <w:rPr>
          <w:rFonts w:hint="eastAsia"/>
          <w:b/>
          <w:color w:val="auto"/>
          <w:szCs w:val="21"/>
          <w:highlight w:val="none"/>
        </w:rPr>
        <w:t>10. 投标预备会</w:t>
      </w:r>
      <w:bookmarkStart w:id="55" w:name="OLE_LINK5"/>
      <w:bookmarkStart w:id="56" w:name="OLE_LINK6"/>
      <w:r>
        <w:rPr>
          <w:rFonts w:hint="eastAsia"/>
          <w:b/>
          <w:color w:val="auto"/>
          <w:szCs w:val="21"/>
          <w:highlight w:val="none"/>
        </w:rPr>
        <w:t>（本条不采用）</w:t>
      </w:r>
      <w:bookmarkEnd w:id="55"/>
      <w:bookmarkEnd w:id="56"/>
    </w:p>
    <w:p w14:paraId="2556A9F2">
      <w:pPr>
        <w:spacing w:line="440" w:lineRule="exact"/>
        <w:ind w:firstLine="420" w:firstLineChars="200"/>
        <w:rPr>
          <w:rFonts w:ascii="宋体"/>
          <w:color w:val="auto"/>
          <w:szCs w:val="21"/>
          <w:highlight w:val="none"/>
        </w:rPr>
      </w:pPr>
      <w:r>
        <w:rPr>
          <w:rFonts w:hint="eastAsia" w:ascii="宋体"/>
          <w:color w:val="auto"/>
          <w:szCs w:val="21"/>
          <w:highlight w:val="none"/>
        </w:rPr>
        <w:t>10.1招标人不组织召开投标预备会。</w:t>
      </w:r>
    </w:p>
    <w:p w14:paraId="0A2262CE">
      <w:pPr>
        <w:spacing w:line="440" w:lineRule="exact"/>
        <w:ind w:firstLine="422" w:firstLineChars="200"/>
        <w:rPr>
          <w:b/>
          <w:color w:val="auto"/>
          <w:szCs w:val="21"/>
          <w:highlight w:val="none"/>
        </w:rPr>
      </w:pPr>
      <w:r>
        <w:rPr>
          <w:rFonts w:hint="eastAsia"/>
          <w:b/>
          <w:color w:val="auto"/>
          <w:szCs w:val="21"/>
          <w:highlight w:val="none"/>
        </w:rPr>
        <w:t>11. 联合投标（本项目不采用）</w:t>
      </w:r>
    </w:p>
    <w:p w14:paraId="25B538B8">
      <w:pPr>
        <w:spacing w:line="440" w:lineRule="exact"/>
        <w:ind w:firstLine="409" w:firstLineChars="195"/>
        <w:rPr>
          <w:rFonts w:ascii="宋体"/>
          <w:color w:val="auto"/>
          <w:szCs w:val="21"/>
          <w:highlight w:val="none"/>
        </w:rPr>
      </w:pPr>
      <w:r>
        <w:rPr>
          <w:rFonts w:hint="eastAsia" w:ascii="宋体"/>
          <w:color w:val="auto"/>
          <w:szCs w:val="21"/>
          <w:highlight w:val="none"/>
        </w:rPr>
        <w:t>11.1</w:t>
      </w:r>
      <w:r>
        <w:rPr>
          <w:rFonts w:hint="eastAsia" w:ascii="宋体" w:hAnsi="宋体"/>
          <w:color w:val="auto"/>
          <w:szCs w:val="21"/>
          <w:highlight w:val="none"/>
        </w:rPr>
        <w:t>本次招标不接受联合体投标。</w:t>
      </w:r>
    </w:p>
    <w:p w14:paraId="727557C9">
      <w:pPr>
        <w:widowControl w:val="0"/>
        <w:spacing w:line="420" w:lineRule="exact"/>
        <w:ind w:firstLine="422" w:firstLineChars="200"/>
        <w:textAlignment w:val="auto"/>
        <w:rPr>
          <w:rFonts w:ascii="宋体" w:hAnsi="宋体"/>
          <w:b/>
          <w:color w:val="auto"/>
          <w:kern w:val="2"/>
          <w:szCs w:val="21"/>
          <w:highlight w:val="none"/>
        </w:rPr>
      </w:pPr>
      <w:r>
        <w:rPr>
          <w:rFonts w:hint="eastAsia" w:ascii="宋体" w:hAnsi="宋体"/>
          <w:b/>
          <w:color w:val="auto"/>
          <w:kern w:val="2"/>
          <w:szCs w:val="21"/>
          <w:highlight w:val="none"/>
        </w:rPr>
        <w:t>12.招标代理费</w:t>
      </w:r>
    </w:p>
    <w:p w14:paraId="47662ADB">
      <w:pPr>
        <w:spacing w:line="400" w:lineRule="exact"/>
        <w:ind w:firstLine="409" w:firstLineChars="195"/>
        <w:rPr>
          <w:rFonts w:ascii="宋体"/>
          <w:color w:val="auto"/>
          <w:szCs w:val="21"/>
          <w:highlight w:val="none"/>
        </w:rPr>
      </w:pPr>
      <w:r>
        <w:rPr>
          <w:rFonts w:hint="eastAsia" w:ascii="宋体" w:hAnsi="宋体" w:cs="宋体"/>
          <w:color w:val="auto"/>
          <w:szCs w:val="21"/>
          <w:highlight w:val="none"/>
        </w:rPr>
        <w:t>本项目无招标代理费</w:t>
      </w:r>
      <w:r>
        <w:rPr>
          <w:rFonts w:hint="eastAsia" w:ascii="宋体" w:hAnsi="宋体"/>
          <w:color w:val="auto"/>
          <w:szCs w:val="21"/>
          <w:highlight w:val="none"/>
        </w:rPr>
        <w:t>。</w:t>
      </w:r>
    </w:p>
    <w:p w14:paraId="5B896649">
      <w:pPr>
        <w:spacing w:line="360" w:lineRule="exact"/>
        <w:ind w:firstLine="210" w:firstLineChars="100"/>
        <w:jc w:val="left"/>
        <w:rPr>
          <w:rFonts w:ascii="宋体"/>
          <w:b/>
          <w:color w:val="auto"/>
          <w:szCs w:val="21"/>
          <w:highlight w:val="none"/>
        </w:rPr>
      </w:pPr>
      <w:r>
        <w:rPr>
          <w:rFonts w:hint="eastAsia" w:ascii="宋体" w:hAnsi="宋体"/>
          <w:color w:val="auto"/>
          <w:kern w:val="2"/>
          <w:szCs w:val="21"/>
          <w:highlight w:val="none"/>
        </w:rPr>
        <w:t xml:space="preserve"> </w:t>
      </w:r>
      <w:r>
        <w:rPr>
          <w:rFonts w:hint="eastAsia" w:ascii="宋体"/>
          <w:bCs/>
          <w:color w:val="auto"/>
          <w:szCs w:val="21"/>
          <w:highlight w:val="none"/>
        </w:rPr>
        <w:t xml:space="preserve"> </w:t>
      </w:r>
      <w:r>
        <w:rPr>
          <w:rFonts w:hint="eastAsia" w:ascii="宋体"/>
          <w:b/>
          <w:color w:val="auto"/>
          <w:szCs w:val="21"/>
          <w:highlight w:val="none"/>
        </w:rPr>
        <w:t>13.投标人应注意的事项</w:t>
      </w:r>
    </w:p>
    <w:p w14:paraId="60477D7B">
      <w:pPr>
        <w:spacing w:line="400" w:lineRule="exact"/>
        <w:ind w:firstLine="409" w:firstLineChars="195"/>
        <w:rPr>
          <w:rFonts w:ascii="宋体"/>
          <w:color w:val="auto"/>
          <w:szCs w:val="21"/>
          <w:highlight w:val="none"/>
        </w:rPr>
      </w:pPr>
      <w:r>
        <w:rPr>
          <w:rFonts w:hint="eastAsia" w:ascii="宋体"/>
          <w:color w:val="auto"/>
          <w:szCs w:val="21"/>
          <w:highlight w:val="none"/>
        </w:rPr>
        <w:t>13.1投标人一旦下载了本招标文件并参加投标，即被认为接受了本招标文件中的所有条件和规定。投标人必须严格按招标文件的要求编制投标文件。投标人必须严格按招标文件的要求编制投标文件，以便评委审核。否则，由此产生的一切后果由投标人承担。</w:t>
      </w:r>
    </w:p>
    <w:p w14:paraId="1254A192">
      <w:pPr>
        <w:spacing w:line="400" w:lineRule="exact"/>
        <w:ind w:firstLine="409" w:firstLineChars="195"/>
        <w:rPr>
          <w:rFonts w:ascii="宋体"/>
          <w:color w:val="auto"/>
          <w:szCs w:val="21"/>
          <w:highlight w:val="none"/>
        </w:rPr>
      </w:pPr>
      <w:r>
        <w:rPr>
          <w:rFonts w:hint="eastAsia" w:ascii="宋体"/>
          <w:color w:val="auto"/>
          <w:szCs w:val="21"/>
          <w:highlight w:val="none"/>
        </w:rPr>
        <w:t>13.2投标人对采购内容中规定的服务和相关要求等必须最大限度的满足招标文件的相关要求。</w:t>
      </w:r>
    </w:p>
    <w:p w14:paraId="7A118CB8">
      <w:pPr>
        <w:spacing w:line="400" w:lineRule="exact"/>
        <w:ind w:firstLine="411" w:firstLineChars="195"/>
        <w:rPr>
          <w:rFonts w:ascii="宋体"/>
          <w:b/>
          <w:bCs/>
          <w:color w:val="auto"/>
          <w:szCs w:val="21"/>
          <w:highlight w:val="none"/>
        </w:rPr>
      </w:pPr>
      <w:r>
        <w:rPr>
          <w:rFonts w:hint="eastAsia" w:ascii="宋体"/>
          <w:b/>
          <w:bCs/>
          <w:color w:val="auto"/>
          <w:szCs w:val="21"/>
          <w:highlight w:val="none"/>
        </w:rPr>
        <w:t>14.政府采购政策性要求：无。</w:t>
      </w:r>
    </w:p>
    <w:p w14:paraId="2BA4EAC7">
      <w:pPr>
        <w:spacing w:beforeLines="100" w:afterLines="100" w:line="480" w:lineRule="auto"/>
        <w:ind w:firstLine="562" w:firstLineChars="200"/>
        <w:jc w:val="center"/>
        <w:rPr>
          <w:rFonts w:ascii="宋体" w:hAnsi="宋体"/>
          <w:b/>
          <w:color w:val="auto"/>
          <w:sz w:val="28"/>
          <w:szCs w:val="28"/>
          <w:highlight w:val="none"/>
        </w:rPr>
      </w:pPr>
      <w:r>
        <w:rPr>
          <w:rFonts w:hint="eastAsia" w:ascii="宋体" w:hAnsi="宋体"/>
          <w:b/>
          <w:color w:val="auto"/>
          <w:sz w:val="28"/>
          <w:szCs w:val="28"/>
          <w:highlight w:val="none"/>
        </w:rPr>
        <w:t>（二）招标文件</w:t>
      </w:r>
    </w:p>
    <w:p w14:paraId="690DB7EE">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15. 招标文件的编制依据</w:t>
      </w:r>
    </w:p>
    <w:p w14:paraId="013FB297">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根据</w:t>
      </w:r>
      <w:r>
        <w:rPr>
          <w:rFonts w:hint="eastAsia" w:ascii="宋体" w:hAnsi="宋体"/>
          <w:color w:val="auto"/>
          <w:spacing w:val="-2"/>
          <w:szCs w:val="21"/>
          <w:highlight w:val="none"/>
        </w:rPr>
        <w:t>相关法律法规和规章的规定，编制本招标文件。</w:t>
      </w:r>
    </w:p>
    <w:p w14:paraId="23237677">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16. 招标文件的组成</w:t>
      </w:r>
    </w:p>
    <w:p w14:paraId="53D4422C">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16.1 招标文件包括内容：</w:t>
      </w:r>
    </w:p>
    <w:p w14:paraId="70AB0E6D">
      <w:pPr>
        <w:spacing w:line="400" w:lineRule="exact"/>
        <w:ind w:firstLine="1470" w:firstLineChars="700"/>
        <w:rPr>
          <w:rFonts w:ascii="宋体" w:hAnsi="宋体"/>
          <w:color w:val="auto"/>
          <w:szCs w:val="21"/>
          <w:highlight w:val="none"/>
        </w:rPr>
      </w:pPr>
      <w:r>
        <w:rPr>
          <w:rFonts w:hint="eastAsia" w:ascii="宋体" w:hAnsi="宋体"/>
          <w:color w:val="auto"/>
          <w:szCs w:val="21"/>
          <w:highlight w:val="none"/>
        </w:rPr>
        <w:t>第一章  招标公告</w:t>
      </w:r>
    </w:p>
    <w:p w14:paraId="080812A3">
      <w:pPr>
        <w:spacing w:line="400" w:lineRule="exact"/>
        <w:ind w:firstLine="1470" w:firstLineChars="700"/>
        <w:rPr>
          <w:rFonts w:ascii="宋体" w:hAnsi="宋体"/>
          <w:color w:val="auto"/>
          <w:szCs w:val="21"/>
          <w:highlight w:val="none"/>
        </w:rPr>
      </w:pPr>
      <w:r>
        <w:rPr>
          <w:rFonts w:hint="eastAsia" w:ascii="宋体" w:hAnsi="宋体"/>
          <w:color w:val="auto"/>
          <w:szCs w:val="21"/>
          <w:highlight w:val="none"/>
        </w:rPr>
        <w:t>第二章  投标须知</w:t>
      </w:r>
    </w:p>
    <w:p w14:paraId="0DFAAFE2">
      <w:pPr>
        <w:spacing w:line="400" w:lineRule="exact"/>
        <w:ind w:firstLine="1470" w:firstLineChars="700"/>
        <w:rPr>
          <w:rFonts w:ascii="宋体" w:hAnsi="宋体"/>
          <w:color w:val="auto"/>
          <w:szCs w:val="21"/>
          <w:highlight w:val="none"/>
        </w:rPr>
      </w:pPr>
      <w:r>
        <w:rPr>
          <w:rFonts w:hint="eastAsia" w:ascii="宋体" w:hAnsi="宋体"/>
          <w:color w:val="auto"/>
          <w:szCs w:val="21"/>
          <w:highlight w:val="none"/>
        </w:rPr>
        <w:t>第三章  评标办法</w:t>
      </w:r>
    </w:p>
    <w:p w14:paraId="4E232F67">
      <w:pPr>
        <w:spacing w:line="400" w:lineRule="exact"/>
        <w:ind w:firstLine="1470" w:firstLineChars="700"/>
        <w:rPr>
          <w:rFonts w:ascii="宋体" w:hAnsi="宋体"/>
          <w:color w:val="auto"/>
          <w:szCs w:val="21"/>
          <w:highlight w:val="none"/>
        </w:rPr>
      </w:pPr>
      <w:r>
        <w:rPr>
          <w:rFonts w:hint="eastAsia" w:ascii="宋体" w:hAnsi="宋体"/>
          <w:color w:val="auto"/>
          <w:szCs w:val="21"/>
          <w:highlight w:val="none"/>
        </w:rPr>
        <w:t>第四章  采购需求及要求</w:t>
      </w:r>
    </w:p>
    <w:p w14:paraId="6F43F504">
      <w:pPr>
        <w:spacing w:line="400" w:lineRule="exact"/>
        <w:ind w:firstLine="1470" w:firstLineChars="700"/>
        <w:rPr>
          <w:rFonts w:ascii="宋体" w:hAnsi="宋体"/>
          <w:color w:val="auto"/>
          <w:szCs w:val="21"/>
          <w:highlight w:val="none"/>
        </w:rPr>
      </w:pPr>
      <w:r>
        <w:rPr>
          <w:rFonts w:hint="eastAsia" w:ascii="宋体" w:hAnsi="宋体"/>
          <w:color w:val="auto"/>
          <w:szCs w:val="21"/>
          <w:highlight w:val="none"/>
        </w:rPr>
        <w:t>第五章  投标文件格式</w:t>
      </w:r>
    </w:p>
    <w:p w14:paraId="67E7D0CE">
      <w:pPr>
        <w:spacing w:line="400" w:lineRule="exact"/>
        <w:ind w:firstLine="1470" w:firstLineChars="700"/>
        <w:rPr>
          <w:rFonts w:ascii="宋体" w:hAnsi="宋体"/>
          <w:color w:val="auto"/>
          <w:szCs w:val="21"/>
          <w:highlight w:val="none"/>
        </w:rPr>
      </w:pPr>
      <w:r>
        <w:rPr>
          <w:rFonts w:hint="eastAsia" w:ascii="宋体" w:hAnsi="宋体"/>
          <w:color w:val="auto"/>
          <w:szCs w:val="21"/>
          <w:highlight w:val="none"/>
        </w:rPr>
        <w:t>第六章  招标单位、招标代理机构对本文件的确认</w:t>
      </w:r>
    </w:p>
    <w:p w14:paraId="4AFCE8C5">
      <w:pPr>
        <w:spacing w:line="400" w:lineRule="exact"/>
        <w:ind w:firstLine="422" w:firstLineChars="200"/>
        <w:rPr>
          <w:rFonts w:ascii="宋体" w:hAnsi="宋体"/>
          <w:b/>
          <w:bCs/>
          <w:color w:val="auto"/>
          <w:szCs w:val="21"/>
          <w:highlight w:val="none"/>
        </w:rPr>
      </w:pPr>
      <w:r>
        <w:rPr>
          <w:rFonts w:hint="eastAsia" w:ascii="宋体" w:hAnsi="宋体"/>
          <w:b/>
          <w:bCs/>
          <w:color w:val="auto"/>
          <w:szCs w:val="21"/>
          <w:highlight w:val="none"/>
        </w:rPr>
        <w:t>17. 招标文件的修改、补充、解释</w:t>
      </w:r>
    </w:p>
    <w:p w14:paraId="09DF5CE1">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17.1 招标文件发出后，招标文件由招标人负责解释。招标文件的修改、补充等内容作为招标文件的组成部分，具有约束作用。</w:t>
      </w:r>
    </w:p>
    <w:p w14:paraId="2ECE1CF6">
      <w:pPr>
        <w:spacing w:line="400" w:lineRule="exact"/>
        <w:rPr>
          <w:rFonts w:ascii="宋体" w:hAnsi="宋体"/>
          <w:b/>
          <w:color w:val="auto"/>
          <w:szCs w:val="21"/>
          <w:highlight w:val="none"/>
        </w:rPr>
      </w:pPr>
      <w:r>
        <w:rPr>
          <w:rFonts w:hint="eastAsia" w:ascii="宋体" w:hAnsi="宋体" w:cs="宋体"/>
          <w:b/>
          <w:color w:val="auto"/>
          <w:szCs w:val="21"/>
          <w:highlight w:val="none"/>
        </w:rPr>
        <w:t xml:space="preserve">   </w:t>
      </w:r>
      <w:r>
        <w:rPr>
          <w:rFonts w:hint="eastAsia" w:ascii="宋体" w:hAnsi="宋体"/>
          <w:b/>
          <w:color w:val="auto"/>
          <w:szCs w:val="21"/>
          <w:highlight w:val="none"/>
        </w:rPr>
        <w:t>18. 招标文件的发出</w:t>
      </w:r>
    </w:p>
    <w:p w14:paraId="7013BC73">
      <w:pPr>
        <w:spacing w:line="400" w:lineRule="exact"/>
        <w:ind w:firstLine="315" w:firstLineChars="150"/>
        <w:rPr>
          <w:rFonts w:ascii="宋体" w:hAnsi="宋体"/>
          <w:color w:val="auto"/>
          <w:szCs w:val="21"/>
          <w:highlight w:val="none"/>
        </w:rPr>
      </w:pPr>
      <w:r>
        <w:rPr>
          <w:rFonts w:hint="eastAsia" w:ascii="宋体" w:hAnsi="宋体"/>
          <w:color w:val="auto"/>
          <w:szCs w:val="21"/>
          <w:highlight w:val="none"/>
        </w:rPr>
        <w:t>18.1 招标文件、招标文件的修改、补充等均应在“庐阳国</w:t>
      </w:r>
      <w:r>
        <w:rPr>
          <w:rFonts w:hint="eastAsia" w:ascii="宋体" w:hAnsi="宋体"/>
          <w:color w:val="auto"/>
          <w:szCs w:val="21"/>
          <w:highlight w:val="none"/>
          <w:lang w:val="en-US" w:eastAsia="zh-CN"/>
        </w:rPr>
        <w:t>控</w:t>
      </w:r>
      <w:r>
        <w:rPr>
          <w:rFonts w:hint="eastAsia" w:ascii="宋体" w:hAnsi="宋体"/>
          <w:color w:val="auto"/>
          <w:szCs w:val="21"/>
          <w:highlight w:val="none"/>
        </w:rPr>
        <w:t>集团”</w:t>
      </w:r>
      <w:r>
        <w:rPr>
          <w:rFonts w:hint="eastAsia" w:ascii="宋体" w:hAnsi="宋体"/>
          <w:color w:val="auto"/>
          <w:szCs w:val="21"/>
          <w:highlight w:val="none"/>
          <w:lang w:eastAsia="zh-CN"/>
        </w:rPr>
        <w:t>官方网站</w:t>
      </w:r>
      <w:r>
        <w:rPr>
          <w:rFonts w:hint="eastAsia" w:ascii="宋体" w:hAnsi="宋体"/>
          <w:color w:val="auto"/>
          <w:szCs w:val="21"/>
          <w:highlight w:val="none"/>
        </w:rPr>
        <w:t>发出。</w:t>
      </w:r>
    </w:p>
    <w:p w14:paraId="2CC00733">
      <w:pPr>
        <w:spacing w:line="400" w:lineRule="exact"/>
        <w:ind w:firstLine="200"/>
        <w:rPr>
          <w:rFonts w:ascii="宋体" w:hAnsi="宋体"/>
          <w:b/>
          <w:color w:val="auto"/>
          <w:szCs w:val="21"/>
          <w:highlight w:val="none"/>
        </w:rPr>
      </w:pPr>
      <w:r>
        <w:rPr>
          <w:rFonts w:hint="eastAsia" w:ascii="宋体" w:hAnsi="宋体" w:cs="宋体"/>
          <w:b/>
          <w:color w:val="auto"/>
          <w:szCs w:val="21"/>
          <w:highlight w:val="none"/>
        </w:rPr>
        <w:t xml:space="preserve"> </w:t>
      </w:r>
      <w:r>
        <w:rPr>
          <w:rFonts w:hint="eastAsia" w:ascii="宋体" w:hAnsi="宋体"/>
          <w:b/>
          <w:color w:val="auto"/>
          <w:szCs w:val="21"/>
          <w:highlight w:val="none"/>
        </w:rPr>
        <w:t>19.最高限价的作用和说明</w:t>
      </w:r>
    </w:p>
    <w:p w14:paraId="3350865C">
      <w:pPr>
        <w:spacing w:line="400" w:lineRule="exact"/>
        <w:ind w:firstLine="279" w:firstLineChars="133"/>
        <w:rPr>
          <w:rFonts w:ascii="宋体" w:hAnsi="宋体"/>
          <w:color w:val="auto"/>
          <w:szCs w:val="21"/>
          <w:highlight w:val="none"/>
        </w:rPr>
      </w:pPr>
      <w:r>
        <w:rPr>
          <w:rFonts w:hint="eastAsia" w:ascii="宋体" w:hAnsi="宋体"/>
          <w:color w:val="auto"/>
          <w:szCs w:val="21"/>
          <w:highlight w:val="none"/>
        </w:rPr>
        <w:t>19.1本项目最高限价见投标人须知前附表。</w:t>
      </w:r>
    </w:p>
    <w:p w14:paraId="682FEB1B">
      <w:pPr>
        <w:spacing w:beforeLines="100" w:afterLines="100" w:line="480" w:lineRule="auto"/>
        <w:ind w:firstLine="562" w:firstLineChars="200"/>
        <w:jc w:val="center"/>
        <w:rPr>
          <w:rFonts w:ascii="宋体" w:hAnsi="宋体"/>
          <w:b/>
          <w:color w:val="auto"/>
          <w:sz w:val="28"/>
          <w:szCs w:val="28"/>
          <w:highlight w:val="none"/>
        </w:rPr>
      </w:pPr>
      <w:r>
        <w:rPr>
          <w:rFonts w:hint="eastAsia" w:ascii="宋体" w:hAnsi="宋体"/>
          <w:b/>
          <w:color w:val="auto"/>
          <w:sz w:val="28"/>
          <w:szCs w:val="28"/>
          <w:highlight w:val="none"/>
        </w:rPr>
        <w:t>（三）投标文件的编制</w:t>
      </w:r>
    </w:p>
    <w:p w14:paraId="4F7BB9E8">
      <w:pPr>
        <w:spacing w:line="400" w:lineRule="exact"/>
        <w:ind w:firstLine="306" w:firstLineChars="145"/>
        <w:rPr>
          <w:rFonts w:ascii="宋体" w:hAnsi="宋体" w:cs="宋体"/>
          <w:b/>
          <w:color w:val="auto"/>
          <w:szCs w:val="21"/>
          <w:highlight w:val="none"/>
        </w:rPr>
      </w:pPr>
      <w:r>
        <w:rPr>
          <w:rFonts w:hint="eastAsia" w:ascii="宋体" w:hAnsi="宋体"/>
          <w:b/>
          <w:color w:val="auto"/>
          <w:szCs w:val="21"/>
          <w:highlight w:val="none"/>
        </w:rPr>
        <w:t xml:space="preserve">20. </w:t>
      </w:r>
      <w:r>
        <w:rPr>
          <w:rFonts w:ascii="宋体" w:hAnsi="宋体" w:cs="宋体"/>
          <w:b/>
          <w:color w:val="auto"/>
          <w:szCs w:val="21"/>
          <w:highlight w:val="none"/>
        </w:rPr>
        <w:t>投标的语言及度量衡单位</w:t>
      </w:r>
    </w:p>
    <w:p w14:paraId="39DEBA4D">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20.1投标人的投标书、以及投标人与招标人就投标的所有往来函电，均须使用简体中文。投标文件中若有英文或其他语言文字的资料，应提供相应的中文翻译资料。对不同文本投标文件的解释发生异议的，以中文文本为准。</w:t>
      </w:r>
    </w:p>
    <w:p w14:paraId="37A292C4">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20.2除招标文件中另有规定外，投标书所使用的度量衡均须采用法定计量单位。</w:t>
      </w:r>
    </w:p>
    <w:p w14:paraId="58B268D0">
      <w:pPr>
        <w:spacing w:line="460" w:lineRule="exact"/>
        <w:ind w:firstLine="207" w:firstLineChars="98"/>
        <w:rPr>
          <w:rFonts w:ascii="宋体" w:hAnsi="宋体"/>
          <w:b/>
          <w:color w:val="auto"/>
          <w:szCs w:val="21"/>
          <w:highlight w:val="none"/>
        </w:rPr>
      </w:pPr>
      <w:r>
        <w:rPr>
          <w:rFonts w:hint="eastAsia" w:ascii="宋体" w:hAnsi="宋体"/>
          <w:b/>
          <w:color w:val="auto"/>
          <w:szCs w:val="21"/>
          <w:highlight w:val="none"/>
        </w:rPr>
        <w:t>21. 投标文件的组成</w:t>
      </w:r>
    </w:p>
    <w:p w14:paraId="7156DEB0">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投标文件</w:t>
      </w:r>
      <w:r>
        <w:rPr>
          <w:rFonts w:hint="eastAsia" w:ascii="宋体" w:hAnsi="宋体"/>
          <w:b/>
          <w:bCs/>
          <w:color w:val="auto"/>
          <w:szCs w:val="21"/>
          <w:highlight w:val="none"/>
        </w:rPr>
        <w:t>具体内容详见第五章投标文件格式内容。</w:t>
      </w:r>
    </w:p>
    <w:p w14:paraId="1090ED67">
      <w:pPr>
        <w:spacing w:line="400" w:lineRule="exact"/>
        <w:ind w:firstLine="422" w:firstLineChars="200"/>
        <w:rPr>
          <w:rFonts w:ascii="宋体" w:hAnsi="宋体"/>
          <w:color w:val="auto"/>
          <w:szCs w:val="21"/>
          <w:highlight w:val="none"/>
        </w:rPr>
      </w:pPr>
      <w:r>
        <w:rPr>
          <w:rFonts w:hint="eastAsia" w:ascii="宋体" w:hAnsi="宋体"/>
          <w:b/>
          <w:color w:val="auto"/>
          <w:szCs w:val="21"/>
          <w:highlight w:val="none"/>
        </w:rPr>
        <w:t>22</w:t>
      </w:r>
      <w:r>
        <w:rPr>
          <w:rFonts w:hint="eastAsia" w:ascii="宋体" w:hAnsi="宋体"/>
          <w:color w:val="auto"/>
          <w:szCs w:val="21"/>
          <w:highlight w:val="none"/>
        </w:rPr>
        <w:t>.</w:t>
      </w:r>
      <w:r>
        <w:rPr>
          <w:rFonts w:hint="eastAsia" w:ascii="宋体" w:hAnsi="宋体"/>
          <w:b/>
          <w:color w:val="auto"/>
          <w:szCs w:val="21"/>
          <w:highlight w:val="none"/>
        </w:rPr>
        <w:t>投标报价</w:t>
      </w:r>
    </w:p>
    <w:p w14:paraId="50083BFB">
      <w:pPr>
        <w:spacing w:line="440" w:lineRule="exact"/>
        <w:ind w:firstLine="420" w:firstLineChars="200"/>
        <w:rPr>
          <w:rFonts w:ascii="宋体"/>
          <w:color w:val="auto"/>
          <w:szCs w:val="21"/>
          <w:highlight w:val="none"/>
        </w:rPr>
      </w:pPr>
      <w:r>
        <w:rPr>
          <w:rFonts w:hint="eastAsia" w:ascii="宋体"/>
          <w:color w:val="auto"/>
          <w:szCs w:val="21"/>
          <w:highlight w:val="none"/>
        </w:rPr>
        <w:t>22.1投标报价文件中的单价和总价全部采用人民币表示。投标人的报价应含有服务（货物）、利润、税金、政策性文件规定及合同包含的所有风险、责任、义务等，即为完成招标文件要求的服务（货物）内容所包含的一切应有费用，招标人后期不再追加费用，投标供应商自行考虑投标风险</w:t>
      </w:r>
      <w:r>
        <w:rPr>
          <w:rFonts w:hint="eastAsia" w:ascii="宋体" w:hAnsi="宋体" w:cs="宋体"/>
          <w:color w:val="auto"/>
          <w:szCs w:val="21"/>
          <w:highlight w:val="none"/>
        </w:rPr>
        <w:t>。</w:t>
      </w:r>
    </w:p>
    <w:p w14:paraId="0FD5EB97">
      <w:pPr>
        <w:spacing w:line="440" w:lineRule="exact"/>
        <w:ind w:firstLine="420" w:firstLineChars="200"/>
        <w:rPr>
          <w:rFonts w:ascii="宋体"/>
          <w:color w:val="auto"/>
          <w:szCs w:val="21"/>
          <w:highlight w:val="none"/>
        </w:rPr>
      </w:pPr>
      <w:r>
        <w:rPr>
          <w:rFonts w:hint="eastAsia" w:ascii="宋体"/>
          <w:color w:val="auto"/>
          <w:szCs w:val="21"/>
          <w:highlight w:val="none"/>
        </w:rPr>
        <w:t>22.2投标人只允许有一个方案、一个报价。</w:t>
      </w:r>
    </w:p>
    <w:p w14:paraId="68BF05AF">
      <w:pPr>
        <w:spacing w:line="440" w:lineRule="exact"/>
        <w:ind w:firstLine="420" w:firstLineChars="200"/>
        <w:rPr>
          <w:rFonts w:ascii="宋体"/>
          <w:color w:val="auto"/>
          <w:szCs w:val="21"/>
          <w:highlight w:val="none"/>
        </w:rPr>
      </w:pPr>
      <w:r>
        <w:rPr>
          <w:rFonts w:hint="eastAsia" w:ascii="宋体"/>
          <w:color w:val="auto"/>
          <w:szCs w:val="21"/>
          <w:highlight w:val="none"/>
        </w:rPr>
        <w:t>22.3投标报价的价格是完成项目全部内容（包括后期的相关服务）交付验收的价格，其总价即为履行合同的固定总价。</w:t>
      </w:r>
    </w:p>
    <w:p w14:paraId="2C263EB7">
      <w:pPr>
        <w:spacing w:line="440" w:lineRule="exact"/>
        <w:ind w:firstLine="420" w:firstLineChars="200"/>
        <w:rPr>
          <w:rFonts w:ascii="宋体"/>
          <w:color w:val="auto"/>
          <w:szCs w:val="21"/>
          <w:highlight w:val="none"/>
        </w:rPr>
      </w:pPr>
      <w:r>
        <w:rPr>
          <w:rFonts w:hint="eastAsia" w:ascii="宋体"/>
          <w:color w:val="auto"/>
          <w:szCs w:val="21"/>
          <w:highlight w:val="none"/>
        </w:rPr>
        <w:t>22.4技术要求中规定的各项费用应包括在投标价格中。投标文件报价为含税价，招标人不再为此次招标支付任何费用。</w:t>
      </w:r>
    </w:p>
    <w:p w14:paraId="64C1BBE1">
      <w:pPr>
        <w:spacing w:line="440" w:lineRule="exact"/>
        <w:ind w:firstLine="420" w:firstLineChars="200"/>
        <w:rPr>
          <w:rFonts w:ascii="宋体"/>
          <w:color w:val="auto"/>
          <w:szCs w:val="21"/>
          <w:highlight w:val="none"/>
        </w:rPr>
      </w:pPr>
      <w:r>
        <w:rPr>
          <w:rFonts w:hint="eastAsia" w:ascii="宋体"/>
          <w:color w:val="auto"/>
          <w:szCs w:val="21"/>
          <w:highlight w:val="none"/>
        </w:rPr>
        <w:t>22.5投标报价应由法定代表人或被授权人签署。</w:t>
      </w:r>
    </w:p>
    <w:p w14:paraId="5D069FBA">
      <w:pPr>
        <w:spacing w:line="440" w:lineRule="exact"/>
        <w:ind w:firstLine="420" w:firstLineChars="200"/>
        <w:rPr>
          <w:rFonts w:ascii="宋体"/>
          <w:color w:val="auto"/>
          <w:szCs w:val="21"/>
          <w:highlight w:val="none"/>
        </w:rPr>
      </w:pPr>
      <w:r>
        <w:rPr>
          <w:rFonts w:hint="eastAsia" w:ascii="宋体"/>
          <w:color w:val="auto"/>
          <w:szCs w:val="21"/>
          <w:highlight w:val="none"/>
        </w:rPr>
        <w:t>22.6</w:t>
      </w:r>
      <w:r>
        <w:rPr>
          <w:rFonts w:hint="eastAsia" w:ascii="宋体"/>
          <w:bCs/>
          <w:color w:val="auto"/>
          <w:szCs w:val="21"/>
          <w:highlight w:val="none"/>
        </w:rPr>
        <w:t>投标人的报价不得高于本次招标最高限价</w:t>
      </w:r>
      <w:r>
        <w:rPr>
          <w:rFonts w:hint="eastAsia" w:ascii="宋体" w:hAnsi="宋体"/>
          <w:b/>
          <w:color w:val="auto"/>
          <w:szCs w:val="21"/>
          <w:highlight w:val="none"/>
        </w:rPr>
        <w:t>，</w:t>
      </w:r>
      <w:r>
        <w:rPr>
          <w:rFonts w:hint="eastAsia" w:ascii="宋体" w:hAnsi="宋体"/>
          <w:b/>
          <w:bCs/>
          <w:color w:val="auto"/>
          <w:szCs w:val="21"/>
          <w:highlight w:val="none"/>
        </w:rPr>
        <w:t>否则将作为无效投标处理。</w:t>
      </w:r>
    </w:p>
    <w:p w14:paraId="597311E4">
      <w:pPr>
        <w:spacing w:line="440" w:lineRule="exact"/>
        <w:ind w:firstLine="420" w:firstLineChars="200"/>
        <w:rPr>
          <w:rFonts w:ascii="宋体"/>
          <w:bCs/>
          <w:color w:val="auto"/>
          <w:szCs w:val="21"/>
          <w:highlight w:val="none"/>
        </w:rPr>
      </w:pPr>
      <w:r>
        <w:rPr>
          <w:rFonts w:hint="eastAsia" w:ascii="宋体"/>
          <w:bCs/>
          <w:color w:val="auto"/>
          <w:szCs w:val="21"/>
          <w:highlight w:val="none"/>
        </w:rPr>
        <w:t>22.7</w:t>
      </w:r>
      <w:r>
        <w:rPr>
          <w:rFonts w:hint="eastAsia" w:ascii="宋体"/>
          <w:color w:val="auto"/>
          <w:szCs w:val="21"/>
          <w:highlight w:val="none"/>
        </w:rPr>
        <w:t>如投标文件中未列明全面实现投标相应技术等的费用，这些费用将被视为已包含在总投标价中。</w:t>
      </w:r>
    </w:p>
    <w:p w14:paraId="143F0433">
      <w:pPr>
        <w:spacing w:line="440" w:lineRule="exact"/>
        <w:ind w:firstLine="420" w:firstLineChars="200"/>
        <w:rPr>
          <w:rFonts w:ascii="宋体"/>
          <w:color w:val="auto"/>
          <w:szCs w:val="21"/>
          <w:highlight w:val="none"/>
        </w:rPr>
      </w:pPr>
      <w:r>
        <w:rPr>
          <w:rFonts w:hint="eastAsia" w:ascii="宋体"/>
          <w:color w:val="auto"/>
          <w:szCs w:val="21"/>
          <w:highlight w:val="none"/>
        </w:rPr>
        <w:t>22.8总投标价中不得包含招标文件要求以外的内容，否则，在评标时不予核减，但在授予合同时，招标人有权将这部分价格从其中标价格中扣除。</w:t>
      </w:r>
    </w:p>
    <w:p w14:paraId="247C6F21">
      <w:pPr>
        <w:spacing w:line="440" w:lineRule="exact"/>
        <w:ind w:firstLine="420" w:firstLineChars="200"/>
        <w:rPr>
          <w:rFonts w:ascii="宋体"/>
          <w:color w:val="auto"/>
          <w:szCs w:val="21"/>
          <w:highlight w:val="none"/>
        </w:rPr>
      </w:pPr>
      <w:r>
        <w:rPr>
          <w:rFonts w:hint="eastAsia" w:ascii="宋体"/>
          <w:color w:val="auto"/>
          <w:szCs w:val="21"/>
          <w:highlight w:val="none"/>
        </w:rPr>
        <w:t>22.9总投标价中不得缺漏招标文件所要求的内容，否则，评标时将有效投标中该项内容的最高价计入其评标总价，但在授予合同时，缺漏项目的报价视作已含在其他项目的报价中，这些项目将作为免费赠送而包含在合同内。</w:t>
      </w:r>
    </w:p>
    <w:p w14:paraId="06743BA0">
      <w:pPr>
        <w:spacing w:line="460" w:lineRule="exact"/>
        <w:ind w:firstLine="422" w:firstLineChars="200"/>
        <w:rPr>
          <w:rFonts w:ascii="宋体" w:hAnsi="宋体"/>
          <w:b/>
          <w:color w:val="auto"/>
          <w:szCs w:val="21"/>
          <w:highlight w:val="none"/>
        </w:rPr>
      </w:pPr>
      <w:r>
        <w:rPr>
          <w:rFonts w:hint="eastAsia" w:ascii="宋体" w:hAnsi="宋体"/>
          <w:b/>
          <w:color w:val="auto"/>
          <w:szCs w:val="21"/>
          <w:highlight w:val="none"/>
        </w:rPr>
        <w:t>23. 投标有效期</w:t>
      </w:r>
    </w:p>
    <w:p w14:paraId="61ABF9CA">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23.1 除投标人须知前附表另有规定外，投标有效期为</w:t>
      </w:r>
      <w:r>
        <w:rPr>
          <w:rFonts w:hint="eastAsia" w:ascii="宋体" w:hAnsi="宋体"/>
          <w:color w:val="auto"/>
          <w:szCs w:val="21"/>
          <w:highlight w:val="none"/>
          <w:lang w:val="en-US" w:eastAsia="zh-CN"/>
        </w:rPr>
        <w:t>6</w:t>
      </w:r>
      <w:r>
        <w:rPr>
          <w:rFonts w:hint="eastAsia" w:ascii="宋体" w:hAnsi="宋体"/>
          <w:color w:val="auto"/>
          <w:szCs w:val="21"/>
          <w:highlight w:val="none"/>
        </w:rPr>
        <w:t>0天。</w:t>
      </w:r>
    </w:p>
    <w:p w14:paraId="34273B0B">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23.2在投标有效期内，投标人撤销或修改其投标文件的，应承担招标文件和法律规定的责任。</w:t>
      </w:r>
    </w:p>
    <w:p w14:paraId="0628CD56">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23.3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13FFB764">
      <w:pPr>
        <w:spacing w:line="460" w:lineRule="exact"/>
        <w:ind w:firstLine="422" w:firstLineChars="200"/>
        <w:rPr>
          <w:rFonts w:ascii="宋体" w:hAnsi="宋体"/>
          <w:b/>
          <w:color w:val="auto"/>
          <w:szCs w:val="21"/>
          <w:highlight w:val="none"/>
        </w:rPr>
      </w:pPr>
      <w:r>
        <w:rPr>
          <w:rFonts w:hint="eastAsia" w:ascii="宋体" w:hAnsi="宋体"/>
          <w:b/>
          <w:color w:val="auto"/>
          <w:szCs w:val="21"/>
          <w:highlight w:val="none"/>
        </w:rPr>
        <w:t>24. 投标保证金（本条不采用）</w:t>
      </w:r>
    </w:p>
    <w:p w14:paraId="2EDC365C">
      <w:pPr>
        <w:spacing w:line="440" w:lineRule="exact"/>
        <w:ind w:firstLine="420" w:firstLineChars="200"/>
        <w:rPr>
          <w:rFonts w:ascii="宋体"/>
          <w:color w:val="auto"/>
          <w:szCs w:val="21"/>
          <w:highlight w:val="none"/>
        </w:rPr>
      </w:pPr>
      <w:r>
        <w:rPr>
          <w:rFonts w:hint="eastAsia" w:ascii="宋体"/>
          <w:color w:val="auto"/>
          <w:szCs w:val="21"/>
          <w:highlight w:val="none"/>
        </w:rPr>
        <w:t>24.1招标人不要求提交投标保证金。</w:t>
      </w:r>
    </w:p>
    <w:p w14:paraId="1116F171">
      <w:pPr>
        <w:spacing w:line="340" w:lineRule="exact"/>
        <w:jc w:val="center"/>
        <w:rPr>
          <w:rFonts w:ascii="宋体" w:hAnsi="宋体"/>
          <w:color w:val="auto"/>
          <w:sz w:val="28"/>
          <w:szCs w:val="28"/>
          <w:highlight w:val="none"/>
        </w:rPr>
      </w:pPr>
    </w:p>
    <w:p w14:paraId="040A642F">
      <w:pPr>
        <w:spacing w:line="340" w:lineRule="exact"/>
        <w:jc w:val="center"/>
        <w:rPr>
          <w:rFonts w:ascii="宋体" w:hAnsi="宋体"/>
          <w:b/>
          <w:color w:val="auto"/>
          <w:sz w:val="28"/>
          <w:szCs w:val="28"/>
          <w:highlight w:val="none"/>
        </w:rPr>
      </w:pPr>
      <w:r>
        <w:rPr>
          <w:rFonts w:hint="eastAsia" w:ascii="宋体" w:hAnsi="宋体"/>
          <w:b/>
          <w:color w:val="auto"/>
          <w:sz w:val="28"/>
          <w:szCs w:val="28"/>
          <w:highlight w:val="none"/>
        </w:rPr>
        <w:t>（四）投标文件的密封和递交</w:t>
      </w:r>
    </w:p>
    <w:p w14:paraId="71E4738A">
      <w:pPr>
        <w:spacing w:line="380" w:lineRule="exact"/>
        <w:rPr>
          <w:rFonts w:ascii="宋体" w:hAnsi="宋体"/>
          <w:b/>
          <w:color w:val="auto"/>
          <w:szCs w:val="21"/>
          <w:highlight w:val="none"/>
        </w:rPr>
      </w:pPr>
      <w:r>
        <w:rPr>
          <w:rFonts w:hint="eastAsia" w:ascii="宋体" w:hAnsi="宋体"/>
          <w:b/>
          <w:color w:val="auto"/>
          <w:sz w:val="24"/>
          <w:highlight w:val="none"/>
        </w:rPr>
        <w:t xml:space="preserve">  </w:t>
      </w:r>
      <w:r>
        <w:rPr>
          <w:rFonts w:hint="eastAsia" w:ascii="宋体" w:hAnsi="宋体"/>
          <w:b/>
          <w:color w:val="auto"/>
          <w:szCs w:val="21"/>
          <w:highlight w:val="none"/>
        </w:rPr>
        <w:t xml:space="preserve"> 25. 投标文件的份数和签署</w:t>
      </w:r>
    </w:p>
    <w:p w14:paraId="20BB9FB0">
      <w:pPr>
        <w:spacing w:line="380" w:lineRule="exact"/>
        <w:ind w:firstLine="315" w:firstLineChars="150"/>
        <w:jc w:val="left"/>
        <w:rPr>
          <w:rFonts w:ascii="宋体" w:hAnsi="宋体"/>
          <w:color w:val="auto"/>
          <w:szCs w:val="21"/>
          <w:highlight w:val="none"/>
        </w:rPr>
      </w:pPr>
      <w:r>
        <w:rPr>
          <w:rFonts w:hint="eastAsia" w:ascii="宋体" w:hAnsi="宋体"/>
          <w:color w:val="auto"/>
          <w:szCs w:val="21"/>
          <w:highlight w:val="none"/>
        </w:rPr>
        <w:t>25.1  投标文件：一式</w:t>
      </w:r>
      <w:r>
        <w:rPr>
          <w:rFonts w:hint="eastAsia" w:ascii="宋体" w:hAnsi="宋体"/>
          <w:color w:val="auto"/>
          <w:szCs w:val="21"/>
          <w:highlight w:val="none"/>
          <w:u w:val="single"/>
        </w:rPr>
        <w:t xml:space="preserve"> 叁 </w:t>
      </w:r>
      <w:r>
        <w:rPr>
          <w:rFonts w:hint="eastAsia" w:ascii="宋体" w:hAnsi="宋体"/>
          <w:color w:val="auto"/>
          <w:szCs w:val="21"/>
          <w:highlight w:val="none"/>
        </w:rPr>
        <w:t xml:space="preserve"> 份，正本</w:t>
      </w:r>
      <w:r>
        <w:rPr>
          <w:rFonts w:hint="eastAsia" w:ascii="宋体" w:hAnsi="宋体"/>
          <w:color w:val="auto"/>
          <w:szCs w:val="21"/>
          <w:highlight w:val="none"/>
          <w:u w:val="single"/>
        </w:rPr>
        <w:t xml:space="preserve"> </w:t>
      </w:r>
      <w:r>
        <w:rPr>
          <w:rFonts w:hint="eastAsia"/>
          <w:b w:val="0"/>
          <w:bCs/>
          <w:color w:val="auto"/>
          <w:highlight w:val="none"/>
          <w:u w:val="single" w:color="auto"/>
        </w:rPr>
        <w:t>壹</w:t>
      </w:r>
      <w:r>
        <w:rPr>
          <w:rFonts w:hint="eastAsia" w:ascii="宋体" w:hAnsi="宋体"/>
          <w:color w:val="auto"/>
          <w:szCs w:val="21"/>
          <w:highlight w:val="none"/>
          <w:u w:val="single"/>
        </w:rPr>
        <w:t xml:space="preserve"> </w:t>
      </w:r>
      <w:r>
        <w:rPr>
          <w:rFonts w:hint="eastAsia" w:ascii="宋体" w:hAnsi="宋体"/>
          <w:color w:val="auto"/>
          <w:szCs w:val="21"/>
          <w:highlight w:val="none"/>
        </w:rPr>
        <w:t>份，副本</w:t>
      </w:r>
      <w:r>
        <w:rPr>
          <w:rFonts w:hint="eastAsia" w:ascii="宋体" w:hAnsi="宋体"/>
          <w:color w:val="auto"/>
          <w:szCs w:val="21"/>
          <w:highlight w:val="none"/>
          <w:u w:val="single"/>
        </w:rPr>
        <w:t xml:space="preserve"> </w:t>
      </w:r>
      <w:r>
        <w:rPr>
          <w:rFonts w:hint="eastAsia"/>
          <w:b w:val="0"/>
          <w:bCs/>
          <w:color w:val="auto"/>
          <w:highlight w:val="none"/>
          <w:u w:val="single" w:color="auto"/>
        </w:rPr>
        <w:t>贰</w:t>
      </w:r>
      <w:r>
        <w:rPr>
          <w:rFonts w:hint="eastAsia" w:ascii="宋体" w:hAnsi="宋体"/>
          <w:b w:val="0"/>
          <w:bCs/>
          <w:color w:val="auto"/>
          <w:szCs w:val="21"/>
          <w:highlight w:val="none"/>
          <w:u w:val="single" w:color="auto"/>
        </w:rPr>
        <w:t xml:space="preserve"> </w:t>
      </w:r>
      <w:r>
        <w:rPr>
          <w:rFonts w:hint="eastAsia" w:ascii="宋体" w:hAnsi="宋体"/>
          <w:color w:val="auto"/>
          <w:szCs w:val="21"/>
          <w:highlight w:val="none"/>
        </w:rPr>
        <w:t>份。</w:t>
      </w:r>
    </w:p>
    <w:p w14:paraId="7D100C78">
      <w:pPr>
        <w:spacing w:line="380" w:lineRule="exact"/>
        <w:ind w:firstLine="315" w:firstLineChars="150"/>
        <w:jc w:val="left"/>
        <w:rPr>
          <w:rFonts w:ascii="宋体" w:hAnsi="宋体"/>
          <w:color w:val="auto"/>
          <w:szCs w:val="21"/>
          <w:highlight w:val="none"/>
        </w:rPr>
      </w:pPr>
      <w:r>
        <w:rPr>
          <w:rFonts w:hint="eastAsia" w:ascii="宋体" w:hAnsi="宋体"/>
          <w:color w:val="auto"/>
          <w:szCs w:val="21"/>
          <w:highlight w:val="none"/>
        </w:rPr>
        <w:t>25.2  投标文件的正本和副本均需打印或使用不褪色的蓝、黑墨水笔书写，字迹应清晰易于辩认，并应在投标文件封面的右上角清楚地注明“正本”或“副本”。正本和副本如不符，以正本为准。</w:t>
      </w:r>
    </w:p>
    <w:p w14:paraId="56BD257B">
      <w:pPr>
        <w:spacing w:line="380" w:lineRule="exact"/>
        <w:ind w:firstLine="315" w:firstLineChars="150"/>
        <w:jc w:val="left"/>
        <w:rPr>
          <w:rFonts w:ascii="宋体" w:hAnsi="宋体"/>
          <w:color w:val="auto"/>
          <w:szCs w:val="21"/>
          <w:highlight w:val="none"/>
        </w:rPr>
      </w:pPr>
      <w:r>
        <w:rPr>
          <w:rFonts w:hint="eastAsia" w:ascii="宋体" w:hAnsi="宋体"/>
          <w:color w:val="auto"/>
          <w:szCs w:val="21"/>
          <w:highlight w:val="none"/>
        </w:rPr>
        <w:t>25.3  投标文件中的授权书、投标函及开标一览表等应当在格式文本要求的相应位置签字和盖章。</w:t>
      </w:r>
    </w:p>
    <w:p w14:paraId="4E434FEF">
      <w:pPr>
        <w:spacing w:line="380" w:lineRule="exact"/>
        <w:ind w:firstLine="315" w:firstLineChars="150"/>
        <w:jc w:val="left"/>
        <w:rPr>
          <w:rFonts w:ascii="宋体" w:hAnsi="宋体"/>
          <w:color w:val="auto"/>
          <w:szCs w:val="21"/>
          <w:highlight w:val="none"/>
        </w:rPr>
      </w:pPr>
      <w:r>
        <w:rPr>
          <w:rFonts w:hint="eastAsia" w:ascii="宋体" w:hAnsi="宋体"/>
          <w:color w:val="auto"/>
          <w:szCs w:val="21"/>
          <w:highlight w:val="none"/>
        </w:rPr>
        <w:t>25.4全套投标文件应无修改和行间插字。如有修改，须在修改处加盖投标单位法定代表人或其委托代理人的印鉴。</w:t>
      </w:r>
    </w:p>
    <w:p w14:paraId="04031AD6">
      <w:pPr>
        <w:spacing w:line="400" w:lineRule="exact"/>
        <w:ind w:firstLine="310" w:firstLineChars="147"/>
        <w:rPr>
          <w:rFonts w:ascii="宋体" w:hAnsi="宋体"/>
          <w:b/>
          <w:color w:val="auto"/>
          <w:szCs w:val="21"/>
          <w:highlight w:val="none"/>
        </w:rPr>
      </w:pPr>
      <w:r>
        <w:rPr>
          <w:rFonts w:hint="eastAsia" w:ascii="宋体" w:hAnsi="宋体"/>
          <w:b/>
          <w:color w:val="auto"/>
          <w:szCs w:val="21"/>
          <w:highlight w:val="none"/>
        </w:rPr>
        <w:t>26．投标文件的装订、密封和标记</w:t>
      </w:r>
    </w:p>
    <w:p w14:paraId="2455CBAA">
      <w:pPr>
        <w:spacing w:line="340" w:lineRule="exact"/>
        <w:ind w:firstLine="315" w:firstLineChars="150"/>
        <w:jc w:val="left"/>
        <w:rPr>
          <w:rFonts w:ascii="宋体" w:hAnsi="宋体"/>
          <w:color w:val="auto"/>
          <w:szCs w:val="21"/>
          <w:highlight w:val="none"/>
        </w:rPr>
      </w:pPr>
      <w:r>
        <w:rPr>
          <w:rFonts w:hint="eastAsia" w:ascii="宋体" w:hAnsi="宋体"/>
          <w:color w:val="auto"/>
          <w:szCs w:val="21"/>
          <w:highlight w:val="none"/>
        </w:rPr>
        <w:t>26.1  投标文件的装订</w:t>
      </w:r>
    </w:p>
    <w:p w14:paraId="4108B5B6">
      <w:pPr>
        <w:spacing w:line="400" w:lineRule="exact"/>
        <w:rPr>
          <w:rFonts w:ascii="宋体" w:hAnsi="宋体"/>
          <w:color w:val="auto"/>
          <w:szCs w:val="21"/>
          <w:highlight w:val="none"/>
        </w:rPr>
      </w:pPr>
      <w:r>
        <w:rPr>
          <w:rFonts w:hint="eastAsia" w:ascii="宋体" w:hAnsi="宋体"/>
          <w:color w:val="auto"/>
          <w:szCs w:val="21"/>
          <w:highlight w:val="none"/>
        </w:rPr>
        <w:t xml:space="preserve">   26.1.1投标文件应按A4纸大小进行装订，对于较大图、表，可采用A3纸，但需要按A4纸大小进行折叠、装订，资信标、技术标、商务标应当分别装订。投标文件的正本与副本应分别装订成册,具体装订要求见投标人须知前附表规定。</w:t>
      </w:r>
    </w:p>
    <w:p w14:paraId="5F4EF7B4">
      <w:pPr>
        <w:spacing w:line="380" w:lineRule="exact"/>
        <w:rPr>
          <w:rFonts w:ascii="宋体" w:hAnsi="宋体"/>
          <w:color w:val="auto"/>
          <w:szCs w:val="21"/>
          <w:highlight w:val="none"/>
        </w:rPr>
      </w:pPr>
      <w:r>
        <w:rPr>
          <w:rFonts w:hint="eastAsia" w:ascii="宋体" w:hAnsi="宋体"/>
          <w:color w:val="auto"/>
          <w:szCs w:val="21"/>
          <w:highlight w:val="none"/>
        </w:rPr>
        <w:t xml:space="preserve">   26.2  投标文件的密封和标记</w:t>
      </w:r>
    </w:p>
    <w:p w14:paraId="74B1F15C">
      <w:pPr>
        <w:spacing w:line="400" w:lineRule="exact"/>
        <w:rPr>
          <w:rFonts w:ascii="宋体" w:hAnsi="宋体"/>
          <w:color w:val="auto"/>
          <w:szCs w:val="21"/>
          <w:highlight w:val="none"/>
        </w:rPr>
      </w:pPr>
      <w:r>
        <w:rPr>
          <w:rFonts w:hint="eastAsia" w:ascii="宋体" w:hAnsi="宋体"/>
          <w:color w:val="auto"/>
          <w:szCs w:val="21"/>
          <w:highlight w:val="none"/>
        </w:rPr>
        <w:t xml:space="preserve">   26.2.1 包装密封，并在封套的封口处加盖投标人单位章。</w:t>
      </w:r>
    </w:p>
    <w:p w14:paraId="3021E722">
      <w:pPr>
        <w:spacing w:line="400" w:lineRule="exact"/>
        <w:rPr>
          <w:rFonts w:ascii="宋体" w:hAnsi="宋体"/>
          <w:color w:val="auto"/>
          <w:szCs w:val="21"/>
          <w:highlight w:val="none"/>
        </w:rPr>
      </w:pPr>
      <w:r>
        <w:rPr>
          <w:rFonts w:hint="eastAsia" w:ascii="宋体" w:hAnsi="宋体"/>
          <w:color w:val="auto"/>
          <w:szCs w:val="21"/>
          <w:highlight w:val="none"/>
        </w:rPr>
        <w:t xml:space="preserve">   26.2.2 投标文件封套上应写明的内容及具体密封要求见投标人须知前附表。</w:t>
      </w:r>
    </w:p>
    <w:p w14:paraId="0B18E249">
      <w:pPr>
        <w:spacing w:line="400" w:lineRule="exact"/>
        <w:rPr>
          <w:rFonts w:ascii="宋体" w:hAnsi="宋体"/>
          <w:color w:val="auto"/>
          <w:szCs w:val="21"/>
          <w:highlight w:val="none"/>
        </w:rPr>
      </w:pPr>
      <w:r>
        <w:rPr>
          <w:rFonts w:hint="eastAsia" w:ascii="宋体" w:hAnsi="宋体"/>
          <w:color w:val="auto"/>
          <w:szCs w:val="21"/>
          <w:highlight w:val="none"/>
        </w:rPr>
        <w:t xml:space="preserve">   26.2.3 应按本章第26.2.1项或26.2.2项中大包装袋要求密封和加写标记的投标文件。</w:t>
      </w:r>
    </w:p>
    <w:p w14:paraId="28B11B7D">
      <w:pPr>
        <w:spacing w:line="380" w:lineRule="exact"/>
        <w:ind w:firstLine="312" w:firstLineChars="148"/>
        <w:jc w:val="left"/>
        <w:rPr>
          <w:rFonts w:ascii="宋体" w:hAnsi="宋体"/>
          <w:b/>
          <w:color w:val="auto"/>
          <w:szCs w:val="21"/>
          <w:highlight w:val="none"/>
        </w:rPr>
      </w:pPr>
      <w:r>
        <w:rPr>
          <w:rFonts w:hint="eastAsia" w:ascii="宋体" w:hAnsi="宋体"/>
          <w:b/>
          <w:color w:val="auto"/>
          <w:szCs w:val="21"/>
          <w:highlight w:val="none"/>
        </w:rPr>
        <w:t>27. 投标文件的提交</w:t>
      </w:r>
    </w:p>
    <w:p w14:paraId="40391384">
      <w:pPr>
        <w:spacing w:line="400" w:lineRule="exact"/>
        <w:rPr>
          <w:rFonts w:ascii="宋体" w:hAnsi="宋体"/>
          <w:color w:val="auto"/>
          <w:szCs w:val="21"/>
          <w:highlight w:val="none"/>
        </w:rPr>
      </w:pPr>
      <w:r>
        <w:rPr>
          <w:rFonts w:hint="eastAsia" w:ascii="宋体" w:hAnsi="宋体"/>
          <w:color w:val="auto"/>
          <w:szCs w:val="21"/>
          <w:highlight w:val="none"/>
        </w:rPr>
        <w:t xml:space="preserve">   27.1 投标人应在投标人须知前附表规定的投标截止时间前递交投标文件。</w:t>
      </w:r>
    </w:p>
    <w:p w14:paraId="10D07F01">
      <w:pPr>
        <w:spacing w:line="400" w:lineRule="exact"/>
        <w:rPr>
          <w:rFonts w:ascii="宋体" w:hAnsi="宋体"/>
          <w:color w:val="auto"/>
          <w:szCs w:val="21"/>
          <w:highlight w:val="none"/>
        </w:rPr>
      </w:pPr>
      <w:r>
        <w:rPr>
          <w:rFonts w:hint="eastAsia" w:ascii="宋体" w:hAnsi="宋体"/>
          <w:color w:val="auto"/>
          <w:szCs w:val="21"/>
          <w:highlight w:val="none"/>
        </w:rPr>
        <w:t xml:space="preserve">   27.2 投标人递交投标文件的地点：见投标人须知前附表。</w:t>
      </w:r>
    </w:p>
    <w:p w14:paraId="6ED19F71">
      <w:pPr>
        <w:spacing w:line="400" w:lineRule="exact"/>
        <w:rPr>
          <w:rFonts w:ascii="宋体" w:hAnsi="宋体"/>
          <w:color w:val="auto"/>
          <w:szCs w:val="21"/>
          <w:highlight w:val="none"/>
        </w:rPr>
      </w:pPr>
      <w:r>
        <w:rPr>
          <w:rFonts w:hint="eastAsia" w:ascii="宋体" w:hAnsi="宋体"/>
          <w:color w:val="auto"/>
          <w:szCs w:val="21"/>
          <w:highlight w:val="none"/>
        </w:rPr>
        <w:t xml:space="preserve">   27.3 除投标人须知前附表另有规定外，投标人所递交的投标文件不予退还。</w:t>
      </w:r>
    </w:p>
    <w:p w14:paraId="2491DB16">
      <w:pPr>
        <w:spacing w:line="400" w:lineRule="exact"/>
        <w:rPr>
          <w:rFonts w:ascii="宋体" w:hAnsi="宋体"/>
          <w:color w:val="auto"/>
          <w:szCs w:val="21"/>
          <w:highlight w:val="none"/>
        </w:rPr>
      </w:pPr>
      <w:r>
        <w:rPr>
          <w:rFonts w:hint="eastAsia" w:ascii="宋体" w:hAnsi="宋体"/>
          <w:color w:val="auto"/>
          <w:szCs w:val="21"/>
          <w:highlight w:val="none"/>
        </w:rPr>
        <w:t xml:space="preserve">   27.4 逾期送达的或者未送达指定地点的投标文件，招标人不予受理。</w:t>
      </w:r>
    </w:p>
    <w:p w14:paraId="5AF573F2">
      <w:pPr>
        <w:spacing w:line="380" w:lineRule="exact"/>
        <w:ind w:firstLine="314" w:firstLineChars="149"/>
        <w:rPr>
          <w:rFonts w:ascii="宋体" w:hAnsi="宋体"/>
          <w:b/>
          <w:color w:val="auto"/>
          <w:szCs w:val="21"/>
          <w:highlight w:val="none"/>
        </w:rPr>
      </w:pPr>
      <w:r>
        <w:rPr>
          <w:rFonts w:hint="eastAsia" w:ascii="宋体" w:hAnsi="宋体"/>
          <w:b/>
          <w:color w:val="auto"/>
          <w:szCs w:val="21"/>
          <w:highlight w:val="none"/>
        </w:rPr>
        <w:t>28．投标文件的补充、修改与撤回</w:t>
      </w:r>
    </w:p>
    <w:p w14:paraId="3EA314D7">
      <w:pPr>
        <w:spacing w:line="380" w:lineRule="exact"/>
        <w:ind w:firstLine="315" w:firstLineChars="150"/>
        <w:jc w:val="left"/>
        <w:rPr>
          <w:rFonts w:ascii="宋体" w:hAnsi="宋体"/>
          <w:color w:val="auto"/>
          <w:szCs w:val="21"/>
          <w:highlight w:val="none"/>
        </w:rPr>
      </w:pPr>
      <w:r>
        <w:rPr>
          <w:rFonts w:hint="eastAsia" w:ascii="宋体" w:hAnsi="宋体"/>
          <w:color w:val="auto"/>
          <w:szCs w:val="21"/>
          <w:highlight w:val="none"/>
        </w:rPr>
        <w:t>28.1 投标人在提交投标文件以后，在规定的投标截止时间之前，可以书面形式补充、修改或撤回已提交的投标文件，并以书面形式通知招标人。补充、修改的内容为投标文件的组成部分。</w:t>
      </w:r>
    </w:p>
    <w:p w14:paraId="320C3A88">
      <w:pPr>
        <w:spacing w:line="380" w:lineRule="exact"/>
        <w:ind w:firstLine="210" w:firstLineChars="100"/>
        <w:jc w:val="left"/>
        <w:rPr>
          <w:rFonts w:ascii="宋体" w:hAnsi="宋体"/>
          <w:color w:val="auto"/>
          <w:szCs w:val="21"/>
          <w:highlight w:val="none"/>
        </w:rPr>
      </w:pPr>
      <w:r>
        <w:rPr>
          <w:rFonts w:hint="eastAsia" w:ascii="宋体" w:hAnsi="宋体"/>
          <w:color w:val="auto"/>
          <w:szCs w:val="21"/>
          <w:highlight w:val="none"/>
        </w:rPr>
        <w:t>28.2  投标人对投标文件的补充、修改，应按本须知第25条、第26条和第27条有关规定密封、标记和提交，并在投标文件密封袋上清楚标明“补充”、“修改”字样。</w:t>
      </w:r>
    </w:p>
    <w:p w14:paraId="207B9BFC">
      <w:pPr>
        <w:spacing w:line="380" w:lineRule="exact"/>
        <w:ind w:firstLine="210" w:firstLineChars="100"/>
        <w:jc w:val="left"/>
        <w:rPr>
          <w:rFonts w:ascii="宋体" w:hAnsi="宋体"/>
          <w:color w:val="auto"/>
          <w:szCs w:val="21"/>
          <w:highlight w:val="none"/>
        </w:rPr>
      </w:pPr>
      <w:r>
        <w:rPr>
          <w:rFonts w:hint="eastAsia" w:ascii="宋体" w:hAnsi="宋体"/>
          <w:color w:val="auto"/>
          <w:szCs w:val="21"/>
          <w:highlight w:val="none"/>
        </w:rPr>
        <w:t>28.3  在投标截止时间之后，投标人不得补充、修改投标文件。</w:t>
      </w:r>
    </w:p>
    <w:p w14:paraId="3783C934">
      <w:pPr>
        <w:spacing w:line="380" w:lineRule="exact"/>
        <w:rPr>
          <w:rFonts w:ascii="宋体" w:hAnsi="宋体"/>
          <w:color w:val="auto"/>
          <w:sz w:val="24"/>
          <w:highlight w:val="none"/>
        </w:rPr>
      </w:pPr>
    </w:p>
    <w:p w14:paraId="6E037B36">
      <w:pPr>
        <w:spacing w:line="400" w:lineRule="exact"/>
        <w:ind w:left="420" w:leftChars="200" w:firstLine="2221" w:firstLineChars="790"/>
        <w:rPr>
          <w:rFonts w:ascii="宋体" w:hAnsi="宋体"/>
          <w:b/>
          <w:color w:val="auto"/>
          <w:sz w:val="28"/>
          <w:szCs w:val="28"/>
          <w:highlight w:val="none"/>
        </w:rPr>
      </w:pPr>
      <w:r>
        <w:rPr>
          <w:rFonts w:hint="eastAsia" w:ascii="宋体" w:hAnsi="宋体"/>
          <w:b/>
          <w:color w:val="auto"/>
          <w:sz w:val="28"/>
          <w:szCs w:val="28"/>
          <w:highlight w:val="none"/>
        </w:rPr>
        <w:t>（五）开标、评标和定标</w:t>
      </w:r>
    </w:p>
    <w:p w14:paraId="4A955902">
      <w:pPr>
        <w:spacing w:line="400" w:lineRule="exact"/>
        <w:rPr>
          <w:rFonts w:ascii="宋体" w:hAnsi="宋体"/>
          <w:b/>
          <w:color w:val="auto"/>
          <w:szCs w:val="21"/>
          <w:highlight w:val="none"/>
        </w:rPr>
      </w:pPr>
      <w:r>
        <w:rPr>
          <w:rFonts w:hint="eastAsia" w:ascii="宋体" w:hAnsi="宋体"/>
          <w:b/>
          <w:color w:val="auto"/>
          <w:sz w:val="24"/>
          <w:highlight w:val="none"/>
        </w:rPr>
        <w:t xml:space="preserve">    </w:t>
      </w:r>
      <w:r>
        <w:rPr>
          <w:rFonts w:hint="eastAsia" w:ascii="宋体" w:hAnsi="宋体"/>
          <w:b/>
          <w:color w:val="auto"/>
          <w:szCs w:val="21"/>
          <w:highlight w:val="none"/>
        </w:rPr>
        <w:t>29. 开标</w:t>
      </w:r>
    </w:p>
    <w:p w14:paraId="19489868">
      <w:pPr>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29.1  开标的时间和地点</w:t>
      </w:r>
    </w:p>
    <w:p w14:paraId="212F4614">
      <w:pPr>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29.1.1招标人按本须知第27条提交投标文件的截止时间和地点公开开标。</w:t>
      </w:r>
    </w:p>
    <w:p w14:paraId="15D84DB1">
      <w:pPr>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29.2  参与开标的部门</w:t>
      </w:r>
    </w:p>
    <w:p w14:paraId="7760DDB6">
      <w:pPr>
        <w:spacing w:line="400" w:lineRule="exact"/>
        <w:ind w:right="-155" w:rightChars="-74" w:firstLine="420" w:firstLineChars="200"/>
        <w:jc w:val="left"/>
        <w:rPr>
          <w:rFonts w:ascii="宋体" w:hAnsi="宋体"/>
          <w:color w:val="auto"/>
          <w:spacing w:val="-8"/>
          <w:szCs w:val="21"/>
          <w:highlight w:val="none"/>
        </w:rPr>
      </w:pPr>
      <w:r>
        <w:rPr>
          <w:rFonts w:hint="eastAsia" w:ascii="宋体" w:hAnsi="宋体"/>
          <w:color w:val="auto"/>
          <w:szCs w:val="21"/>
          <w:highlight w:val="none"/>
        </w:rPr>
        <w:t>29.2.1参与开标的部门：相关部门参加。</w:t>
      </w:r>
    </w:p>
    <w:p w14:paraId="1917F99C">
      <w:pPr>
        <w:spacing w:line="400" w:lineRule="exact"/>
        <w:ind w:right="-155" w:rightChars="-74" w:firstLine="420" w:firstLineChars="200"/>
        <w:jc w:val="left"/>
        <w:rPr>
          <w:rFonts w:ascii="宋体" w:hAnsi="宋体"/>
          <w:color w:val="auto"/>
          <w:szCs w:val="21"/>
          <w:highlight w:val="none"/>
        </w:rPr>
      </w:pPr>
      <w:r>
        <w:rPr>
          <w:rFonts w:hint="eastAsia" w:ascii="宋体" w:hAnsi="宋体"/>
          <w:color w:val="auto"/>
          <w:szCs w:val="21"/>
          <w:highlight w:val="none"/>
        </w:rPr>
        <w:t>29.4开标程序</w:t>
      </w:r>
    </w:p>
    <w:p w14:paraId="266E9BF6">
      <w:pPr>
        <w:spacing w:line="400" w:lineRule="exact"/>
        <w:ind w:right="-155" w:rightChars="-74" w:firstLine="630" w:firstLineChars="300"/>
        <w:jc w:val="left"/>
        <w:rPr>
          <w:rFonts w:ascii="宋体" w:hAnsi="宋体"/>
          <w:color w:val="auto"/>
          <w:szCs w:val="21"/>
          <w:highlight w:val="none"/>
        </w:rPr>
      </w:pPr>
      <w:r>
        <w:rPr>
          <w:rFonts w:hint="eastAsia" w:ascii="宋体" w:hAnsi="宋体"/>
          <w:color w:val="auto"/>
          <w:szCs w:val="21"/>
          <w:highlight w:val="none"/>
        </w:rPr>
        <w:t>开标会议由</w:t>
      </w:r>
      <w:r>
        <w:rPr>
          <w:rFonts w:hint="eastAsia" w:ascii="宋体"/>
          <w:color w:val="auto"/>
          <w:szCs w:val="21"/>
          <w:highlight w:val="none"/>
          <w:u w:val="single"/>
        </w:rPr>
        <w:t>合肥庐阳国有资</w:t>
      </w:r>
      <w:r>
        <w:rPr>
          <w:rFonts w:hint="eastAsia" w:ascii="宋体"/>
          <w:color w:val="auto"/>
          <w:szCs w:val="21"/>
          <w:highlight w:val="none"/>
          <w:u w:val="single"/>
          <w:lang w:val="en-US" w:eastAsia="zh-CN"/>
        </w:rPr>
        <w:t>本</w:t>
      </w:r>
      <w:r>
        <w:rPr>
          <w:rFonts w:hint="eastAsia" w:ascii="宋体"/>
          <w:color w:val="auto"/>
          <w:szCs w:val="21"/>
          <w:highlight w:val="none"/>
          <w:u w:val="single"/>
        </w:rPr>
        <w:t>控股集团有限公司</w:t>
      </w:r>
      <w:r>
        <w:rPr>
          <w:rFonts w:hint="eastAsia" w:ascii="宋体" w:hAnsi="宋体"/>
          <w:color w:val="auto"/>
          <w:szCs w:val="21"/>
          <w:highlight w:val="none"/>
        </w:rPr>
        <w:t>或招标人主持。</w:t>
      </w:r>
    </w:p>
    <w:p w14:paraId="21EBAB5A">
      <w:pPr>
        <w:spacing w:line="400" w:lineRule="exact"/>
        <w:ind w:right="-155" w:rightChars="-74" w:firstLine="210" w:firstLineChars="100"/>
        <w:jc w:val="left"/>
        <w:rPr>
          <w:rFonts w:ascii="宋体" w:hAnsi="宋体"/>
          <w:color w:val="auto"/>
          <w:szCs w:val="21"/>
          <w:highlight w:val="none"/>
        </w:rPr>
      </w:pPr>
      <w:r>
        <w:rPr>
          <w:rFonts w:hint="eastAsia" w:ascii="宋体" w:hAnsi="宋体"/>
          <w:color w:val="auto"/>
          <w:szCs w:val="21"/>
          <w:highlight w:val="none"/>
        </w:rPr>
        <w:t>（1）宣布开标纪律；</w:t>
      </w:r>
    </w:p>
    <w:p w14:paraId="2CCD1EA4">
      <w:pPr>
        <w:spacing w:line="400" w:lineRule="exact"/>
        <w:ind w:right="-155" w:rightChars="-74" w:firstLine="210" w:firstLineChars="100"/>
        <w:jc w:val="left"/>
        <w:rPr>
          <w:rFonts w:ascii="宋体" w:hAnsi="宋体"/>
          <w:color w:val="auto"/>
          <w:szCs w:val="21"/>
          <w:highlight w:val="none"/>
        </w:rPr>
      </w:pPr>
      <w:r>
        <w:rPr>
          <w:rFonts w:hint="eastAsia" w:ascii="宋体" w:hAnsi="宋体"/>
          <w:color w:val="auto"/>
          <w:szCs w:val="21"/>
          <w:highlight w:val="none"/>
        </w:rPr>
        <w:t>（2）宣布招标（采购）人、代理机构主持人、见证人等有关人员姓名；</w:t>
      </w:r>
    </w:p>
    <w:p w14:paraId="70397155">
      <w:pPr>
        <w:spacing w:line="400" w:lineRule="exact"/>
        <w:ind w:right="-155" w:rightChars="-74" w:firstLine="210" w:firstLineChars="100"/>
        <w:jc w:val="left"/>
        <w:rPr>
          <w:rFonts w:ascii="宋体" w:hAnsi="宋体"/>
          <w:color w:val="auto"/>
          <w:szCs w:val="21"/>
          <w:highlight w:val="none"/>
        </w:rPr>
      </w:pPr>
      <w:r>
        <w:rPr>
          <w:rFonts w:hint="eastAsia" w:ascii="宋体" w:hAnsi="宋体"/>
          <w:color w:val="auto"/>
          <w:szCs w:val="21"/>
          <w:highlight w:val="none"/>
        </w:rPr>
        <w:t>（3）公布在投标截止时间前递交投标文件的投标人名称；</w:t>
      </w:r>
    </w:p>
    <w:p w14:paraId="679B2464">
      <w:pPr>
        <w:spacing w:line="400" w:lineRule="exact"/>
        <w:ind w:right="-155" w:rightChars="-74" w:firstLine="210" w:firstLineChars="100"/>
        <w:jc w:val="left"/>
        <w:rPr>
          <w:rFonts w:ascii="宋体" w:hAnsi="宋体"/>
          <w:color w:val="auto"/>
          <w:szCs w:val="21"/>
          <w:highlight w:val="none"/>
        </w:rPr>
      </w:pPr>
      <w:r>
        <w:rPr>
          <w:rFonts w:hint="eastAsia" w:ascii="宋体" w:hAnsi="宋体"/>
          <w:color w:val="auto"/>
          <w:szCs w:val="21"/>
          <w:highlight w:val="none"/>
        </w:rPr>
        <w:t>（4）拆封标书交由评标委员会评审合格后，公布投标人投标报价、服务期限及其他内容，并记录在案，根据得分宣读排名；</w:t>
      </w:r>
    </w:p>
    <w:p w14:paraId="10F4DD74">
      <w:pPr>
        <w:spacing w:line="400" w:lineRule="exact"/>
        <w:ind w:right="-155" w:rightChars="-74" w:firstLine="210" w:firstLineChars="100"/>
        <w:jc w:val="left"/>
        <w:rPr>
          <w:rFonts w:ascii="宋体" w:hAnsi="宋体"/>
          <w:color w:val="auto"/>
          <w:szCs w:val="21"/>
          <w:highlight w:val="none"/>
        </w:rPr>
      </w:pPr>
      <w:r>
        <w:rPr>
          <w:rFonts w:hint="eastAsia" w:ascii="宋体" w:hAnsi="宋体"/>
          <w:color w:val="auto"/>
          <w:szCs w:val="21"/>
          <w:highlight w:val="none"/>
        </w:rPr>
        <w:t>（5）开标结束。</w:t>
      </w:r>
    </w:p>
    <w:p w14:paraId="523A9E10">
      <w:pPr>
        <w:spacing w:line="400" w:lineRule="exact"/>
        <w:ind w:right="-155" w:rightChars="-74" w:firstLine="210" w:firstLineChars="100"/>
        <w:jc w:val="left"/>
        <w:rPr>
          <w:rFonts w:ascii="宋体" w:hAnsi="宋体"/>
          <w:color w:val="auto"/>
          <w:szCs w:val="21"/>
          <w:highlight w:val="none"/>
        </w:rPr>
      </w:pPr>
      <w:r>
        <w:rPr>
          <w:rFonts w:hint="eastAsia" w:ascii="宋体" w:hAnsi="宋体"/>
          <w:color w:val="auto"/>
          <w:szCs w:val="21"/>
          <w:highlight w:val="none"/>
        </w:rPr>
        <w:t>29.5开标异议</w:t>
      </w:r>
    </w:p>
    <w:p w14:paraId="18436146">
      <w:pPr>
        <w:spacing w:line="400" w:lineRule="exact"/>
        <w:ind w:right="-155" w:rightChars="-74" w:firstLine="210" w:firstLineChars="100"/>
        <w:jc w:val="left"/>
        <w:rPr>
          <w:rFonts w:ascii="宋体" w:hAnsi="宋体"/>
          <w:color w:val="auto"/>
          <w:szCs w:val="21"/>
          <w:highlight w:val="none"/>
        </w:rPr>
      </w:pPr>
      <w:r>
        <w:rPr>
          <w:rFonts w:hint="eastAsia" w:ascii="宋体" w:hAnsi="宋体"/>
          <w:color w:val="auto"/>
          <w:szCs w:val="21"/>
          <w:highlight w:val="none"/>
        </w:rPr>
        <w:t>投标人对开标有异议的，应当在开标现场提出，招标人当场作出答复，并制作记录。</w:t>
      </w:r>
    </w:p>
    <w:p w14:paraId="2C904ECC">
      <w:pPr>
        <w:spacing w:line="400" w:lineRule="exact"/>
        <w:ind w:firstLine="211" w:firstLineChars="100"/>
        <w:jc w:val="left"/>
        <w:rPr>
          <w:rFonts w:ascii="宋体" w:hAnsi="宋体"/>
          <w:b/>
          <w:color w:val="auto"/>
          <w:szCs w:val="21"/>
          <w:highlight w:val="none"/>
        </w:rPr>
      </w:pPr>
      <w:r>
        <w:rPr>
          <w:rFonts w:hint="eastAsia" w:ascii="宋体" w:hAnsi="宋体"/>
          <w:b/>
          <w:color w:val="auto"/>
          <w:szCs w:val="21"/>
          <w:highlight w:val="none"/>
        </w:rPr>
        <w:t>30. 评标委员会</w:t>
      </w:r>
    </w:p>
    <w:p w14:paraId="47AD4D22">
      <w:pPr>
        <w:spacing w:line="400" w:lineRule="exact"/>
        <w:ind w:firstLine="210" w:firstLineChars="100"/>
        <w:jc w:val="left"/>
        <w:rPr>
          <w:rFonts w:ascii="宋体" w:hAnsi="宋体"/>
          <w:color w:val="auto"/>
          <w:szCs w:val="21"/>
          <w:highlight w:val="none"/>
        </w:rPr>
      </w:pPr>
      <w:r>
        <w:rPr>
          <w:rFonts w:hint="eastAsia" w:ascii="宋体" w:hAnsi="宋体"/>
          <w:color w:val="auto"/>
          <w:szCs w:val="21"/>
          <w:highlight w:val="none"/>
        </w:rPr>
        <w:t>30.1  评标委员会的组成</w:t>
      </w:r>
    </w:p>
    <w:p w14:paraId="3CFD769A">
      <w:pPr>
        <w:spacing w:line="400" w:lineRule="exact"/>
        <w:ind w:firstLine="210" w:firstLineChars="100"/>
        <w:jc w:val="left"/>
        <w:rPr>
          <w:rFonts w:ascii="宋体" w:hAnsi="宋体"/>
          <w:color w:val="auto"/>
          <w:szCs w:val="21"/>
          <w:highlight w:val="none"/>
        </w:rPr>
      </w:pPr>
      <w:r>
        <w:rPr>
          <w:rFonts w:hint="eastAsia" w:ascii="宋体" w:hAnsi="宋体"/>
          <w:color w:val="auto"/>
          <w:szCs w:val="21"/>
          <w:highlight w:val="none"/>
        </w:rPr>
        <w:t>30.1.1评标由招标人依法组建的评标委员会负责。</w:t>
      </w:r>
    </w:p>
    <w:p w14:paraId="351146C7">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30.1.2评标委员会负责人依法推荐或确定。</w:t>
      </w:r>
    </w:p>
    <w:p w14:paraId="4CA3FFFA">
      <w:pPr>
        <w:spacing w:line="400" w:lineRule="exact"/>
        <w:ind w:firstLine="210" w:firstLineChars="100"/>
        <w:jc w:val="left"/>
        <w:rPr>
          <w:rFonts w:ascii="宋体" w:hAnsi="宋体"/>
          <w:color w:val="auto"/>
          <w:szCs w:val="21"/>
          <w:highlight w:val="none"/>
        </w:rPr>
      </w:pPr>
      <w:r>
        <w:rPr>
          <w:rFonts w:hint="eastAsia" w:ascii="宋体" w:hAnsi="宋体"/>
          <w:color w:val="auto"/>
          <w:szCs w:val="21"/>
          <w:highlight w:val="none"/>
        </w:rPr>
        <w:t>30.2  评标委员会成员名单在中标结果确定前应当保密。</w:t>
      </w:r>
    </w:p>
    <w:p w14:paraId="5C92181F">
      <w:pPr>
        <w:spacing w:line="400" w:lineRule="exact"/>
        <w:ind w:firstLine="210" w:firstLineChars="100"/>
        <w:jc w:val="left"/>
        <w:rPr>
          <w:rFonts w:ascii="宋体" w:hAnsi="宋体"/>
          <w:color w:val="auto"/>
          <w:szCs w:val="21"/>
          <w:highlight w:val="none"/>
        </w:rPr>
      </w:pPr>
      <w:r>
        <w:rPr>
          <w:rFonts w:hint="eastAsia" w:ascii="宋体" w:hAnsi="宋体"/>
          <w:color w:val="auto"/>
          <w:szCs w:val="21"/>
          <w:highlight w:val="none"/>
        </w:rPr>
        <w:t>30.3  评标委员会成员有下述情形的，应当主动提出回避：</w:t>
      </w:r>
    </w:p>
    <w:p w14:paraId="11E552C6">
      <w:pPr>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(一)参加采购活动前三年内,与供应商存在劳动关系,或者担任过供应商的董事、监事,或者是供应商的控股股东或实际控制人;</w:t>
      </w:r>
    </w:p>
    <w:p w14:paraId="4A230958">
      <w:pPr>
        <w:spacing w:line="400" w:lineRule="exact"/>
        <w:ind w:firstLine="210" w:firstLineChars="100"/>
        <w:jc w:val="left"/>
        <w:rPr>
          <w:rFonts w:ascii="宋体" w:hAnsi="宋体"/>
          <w:color w:val="auto"/>
          <w:szCs w:val="21"/>
          <w:highlight w:val="none"/>
        </w:rPr>
      </w:pPr>
      <w:r>
        <w:rPr>
          <w:rFonts w:hint="eastAsia" w:ascii="宋体" w:hAnsi="宋体"/>
          <w:color w:val="auto"/>
          <w:szCs w:val="21"/>
          <w:highlight w:val="none"/>
        </w:rPr>
        <w:t>　(二)与供应商的法定代表人（分支机构负责人）或者负责人有夫妻、直系血亲、三代以内旁系血亲或者近姻亲关系;</w:t>
      </w:r>
    </w:p>
    <w:p w14:paraId="11884666">
      <w:pPr>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(三)与供应商有其他可能影响政府采购活动公平、公正进行的关系。</w:t>
      </w:r>
    </w:p>
    <w:p w14:paraId="159D025A">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 xml:space="preserve">  30.4  评标委员会应当向招标人提出书面评标报告，并抄送有关行政监督部门。评标报告应当如实记载以下内容：</w:t>
      </w:r>
    </w:p>
    <w:p w14:paraId="170D4B1F">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（1）基本情况和数据表；</w:t>
      </w:r>
    </w:p>
    <w:p w14:paraId="48FE50D0">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（2）评标委员会成员名单；</w:t>
      </w:r>
    </w:p>
    <w:p w14:paraId="4C315971">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（3）开标记录；</w:t>
      </w:r>
    </w:p>
    <w:p w14:paraId="6F2AD224">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（4）符合要求的投标人一览表；</w:t>
      </w:r>
    </w:p>
    <w:p w14:paraId="0E265424">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（5）废标情况说明；</w:t>
      </w:r>
    </w:p>
    <w:p w14:paraId="62742F1B">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（6）评标标准、评标方法或者评标因素一览表；</w:t>
      </w:r>
    </w:p>
    <w:p w14:paraId="7A830C8D">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（7）经评审的价格或者评分比较一览表；</w:t>
      </w:r>
    </w:p>
    <w:p w14:paraId="0A95639C">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（8）投标人串标、围标等违规行为的确认报告；</w:t>
      </w:r>
    </w:p>
    <w:p w14:paraId="51AF2173">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（9）经评审的投标人排序；</w:t>
      </w:r>
    </w:p>
    <w:p w14:paraId="456905D2">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（10）推荐的中标人名单；</w:t>
      </w:r>
    </w:p>
    <w:p w14:paraId="7903D739">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（11）澄清、说明、补正事项纪要。</w:t>
      </w:r>
    </w:p>
    <w:p w14:paraId="4963FC4B">
      <w:pPr>
        <w:tabs>
          <w:tab w:val="left" w:pos="720"/>
        </w:tabs>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30.5</w:t>
      </w:r>
      <w:r>
        <w:rPr>
          <w:rFonts w:hint="eastAsia" w:ascii="宋体" w:hAnsi="宋体" w:cs="宋体"/>
          <w:b/>
          <w:bCs/>
          <w:color w:val="auto"/>
          <w:szCs w:val="21"/>
          <w:highlight w:val="none"/>
        </w:rPr>
        <w:t>招标人授权评标委员会对投标人资格进行审查。</w:t>
      </w:r>
      <w:r>
        <w:rPr>
          <w:rFonts w:hint="eastAsia" w:ascii="宋体" w:hAnsi="宋体"/>
          <w:color w:val="auto"/>
          <w:szCs w:val="21"/>
          <w:highlight w:val="none"/>
        </w:rPr>
        <w:t>评标委员会应自觉接受有关部门的现场监督，评标委员会成员与评标活动有关的工作人员和监督人员不得向他人透露对投标文件的评审和比较、中标人的推荐以及与评标有关的其他情况。投标文件及与评标有关的资料应当保密。</w:t>
      </w:r>
    </w:p>
    <w:p w14:paraId="142D4B0D">
      <w:pPr>
        <w:spacing w:line="400" w:lineRule="exact"/>
        <w:ind w:firstLine="207" w:firstLineChars="98"/>
        <w:jc w:val="left"/>
        <w:rPr>
          <w:rFonts w:ascii="宋体" w:hAnsi="宋体"/>
          <w:b/>
          <w:color w:val="auto"/>
          <w:szCs w:val="21"/>
          <w:highlight w:val="none"/>
        </w:rPr>
      </w:pPr>
      <w:r>
        <w:rPr>
          <w:rFonts w:hint="eastAsia" w:ascii="宋体" w:hAnsi="宋体"/>
          <w:b/>
          <w:color w:val="auto"/>
          <w:szCs w:val="21"/>
          <w:highlight w:val="none"/>
        </w:rPr>
        <w:t>31. 评标</w:t>
      </w:r>
    </w:p>
    <w:p w14:paraId="4A90B625">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31.1</w:t>
      </w:r>
      <w:r>
        <w:rPr>
          <w:rFonts w:ascii="宋体" w:hAnsi="宋体"/>
          <w:color w:val="auto"/>
          <w:szCs w:val="21"/>
          <w:highlight w:val="none"/>
        </w:rPr>
        <w:t xml:space="preserve">  </w:t>
      </w:r>
      <w:r>
        <w:rPr>
          <w:rFonts w:hint="eastAsia" w:ascii="宋体" w:hAnsi="宋体"/>
          <w:color w:val="auto"/>
          <w:szCs w:val="21"/>
          <w:highlight w:val="none"/>
        </w:rPr>
        <w:t>评标准备工作</w:t>
      </w:r>
    </w:p>
    <w:p w14:paraId="651C4073">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31.1.1阅读由招标人或招标代理单位编写的招标项目情况的说明材料；</w:t>
      </w:r>
    </w:p>
    <w:p w14:paraId="72139E77">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31.1.2阅读、研究招标文件和相关评标资料，获取评标所需要的重要信息和数据；</w:t>
      </w:r>
    </w:p>
    <w:p w14:paraId="5A6507E5">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31.1.3熟悉招标文件规定的评标方法及在评标过程中需要考虑的相关因素；</w:t>
      </w:r>
    </w:p>
    <w:p w14:paraId="48D20A92">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31.1.4核对评标工作用表。</w:t>
      </w:r>
    </w:p>
    <w:p w14:paraId="6FE45557">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31.2  评标办法</w:t>
      </w:r>
    </w:p>
    <w:p w14:paraId="0E542386">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31.2.1评标委员会按照第三章“评标办法”规定的方法、评审因素、标准和程序对投标文件进行评审。第三章“评标办法”没有规定的方法、评审因素和标准，不作为评标依据。</w:t>
      </w:r>
    </w:p>
    <w:p w14:paraId="32429FA3">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31.3评标原则：</w:t>
      </w:r>
    </w:p>
    <w:p w14:paraId="1BAD1F5B">
      <w:pPr>
        <w:spacing w:line="400" w:lineRule="exact"/>
        <w:jc w:val="left"/>
        <w:rPr>
          <w:rFonts w:ascii="宋体" w:hAnsi="宋体"/>
          <w:color w:val="auto"/>
          <w:szCs w:val="21"/>
          <w:highlight w:val="none"/>
        </w:rPr>
      </w:pPr>
      <w:r>
        <w:rPr>
          <w:rFonts w:hint="eastAsia" w:ascii="宋体" w:hAnsi="宋体"/>
          <w:color w:val="auto"/>
          <w:szCs w:val="21"/>
          <w:highlight w:val="none"/>
        </w:rPr>
        <w:t xml:space="preserve">  31.3.1遵循公平、公正、科学和择优的原则。</w:t>
      </w:r>
    </w:p>
    <w:p w14:paraId="4F523677">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31.4 评标报告的签署</w:t>
      </w:r>
    </w:p>
    <w:p w14:paraId="3DD2A1DB">
      <w:pPr>
        <w:spacing w:line="400" w:lineRule="exact"/>
        <w:ind w:firstLine="210" w:firstLineChars="100"/>
        <w:jc w:val="left"/>
        <w:rPr>
          <w:rFonts w:ascii="宋体" w:hAnsi="宋体"/>
          <w:color w:val="auto"/>
          <w:szCs w:val="21"/>
          <w:highlight w:val="none"/>
        </w:rPr>
      </w:pPr>
      <w:r>
        <w:rPr>
          <w:rFonts w:hint="eastAsia" w:ascii="宋体" w:hAnsi="宋体"/>
          <w:color w:val="auto"/>
          <w:szCs w:val="21"/>
          <w:highlight w:val="none"/>
        </w:rPr>
        <w:t>31.4.1 评标委员会应当编制书面评标报告,所有成员应签字确认。对评标结论持有异议的评标委员会成员可以书面方式阐述其不同意见和理由。评标委员会成员拒绝在评标报告上签字且不陈述其不同意见和理由的，视为同意评标结论。</w:t>
      </w:r>
    </w:p>
    <w:p w14:paraId="77496268">
      <w:pPr>
        <w:spacing w:line="400" w:lineRule="exact"/>
        <w:ind w:firstLine="205" w:firstLineChars="98"/>
        <w:jc w:val="left"/>
        <w:rPr>
          <w:rFonts w:ascii="宋体" w:hAnsi="宋体"/>
          <w:color w:val="auto"/>
          <w:szCs w:val="21"/>
          <w:highlight w:val="none"/>
        </w:rPr>
      </w:pPr>
      <w:r>
        <w:rPr>
          <w:rFonts w:hint="eastAsia" w:ascii="宋体" w:hAnsi="宋体"/>
          <w:color w:val="auto"/>
          <w:szCs w:val="21"/>
          <w:highlight w:val="none"/>
        </w:rPr>
        <w:t>31.5 投标文件的澄清</w:t>
      </w:r>
    </w:p>
    <w:p w14:paraId="4EADE095">
      <w:pPr>
        <w:spacing w:line="400" w:lineRule="exact"/>
        <w:ind w:firstLine="210" w:firstLineChars="100"/>
        <w:jc w:val="left"/>
        <w:rPr>
          <w:rFonts w:ascii="宋体" w:hAnsi="宋体"/>
          <w:color w:val="auto"/>
          <w:szCs w:val="21"/>
          <w:highlight w:val="none"/>
        </w:rPr>
      </w:pPr>
      <w:r>
        <w:rPr>
          <w:rFonts w:hint="eastAsia" w:ascii="宋体" w:hAnsi="宋体"/>
          <w:color w:val="auto"/>
          <w:szCs w:val="21"/>
          <w:highlight w:val="none"/>
        </w:rPr>
        <w:t>31.5.1 在评标过程中，评标委员会认为需要，在监管部门的监督下，可要求投标人对投标文件中的有关问题进行澄清或提供补充说明及有关资料，投标人应做出书面答复。</w:t>
      </w:r>
    </w:p>
    <w:p w14:paraId="5C72F57B">
      <w:pPr>
        <w:spacing w:line="400" w:lineRule="exact"/>
        <w:ind w:firstLine="210" w:firstLineChars="100"/>
        <w:jc w:val="left"/>
        <w:rPr>
          <w:rFonts w:ascii="宋体" w:hAnsi="宋体"/>
          <w:color w:val="auto"/>
          <w:szCs w:val="21"/>
          <w:highlight w:val="none"/>
        </w:rPr>
      </w:pPr>
      <w:r>
        <w:rPr>
          <w:rFonts w:hint="eastAsia" w:ascii="宋体" w:hAnsi="宋体"/>
          <w:color w:val="auto"/>
          <w:szCs w:val="21"/>
          <w:highlight w:val="none"/>
        </w:rPr>
        <w:t>31.5.2 书面答复须经投标人法定代表人或其委托代理人签字或盖章，签字或盖章的书面答复将被视为投标文件的组成部分。</w:t>
      </w:r>
    </w:p>
    <w:p w14:paraId="6146652B">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31.6评审意见分歧的处理办法:</w:t>
      </w:r>
    </w:p>
    <w:p w14:paraId="76DA9186">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（1）评标委员会应当对投标人提供的报告、证明材料及详细说明认真研究。对存在意见分歧的，可采用投票方式表决决定（按多数评委意见为准）；</w:t>
      </w:r>
    </w:p>
    <w:p w14:paraId="68CD6BC3">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招标投标当事人对评标结果提出异议或者投诉，</w:t>
      </w:r>
      <w:r>
        <w:rPr>
          <w:rFonts w:hint="eastAsia" w:ascii="宋体" w:hAnsi="宋体"/>
          <w:color w:val="auto"/>
          <w:szCs w:val="21"/>
          <w:highlight w:val="none"/>
        </w:rPr>
        <w:t>监管部门</w:t>
      </w:r>
      <w:r>
        <w:rPr>
          <w:rFonts w:ascii="宋体" w:hAnsi="宋体"/>
          <w:color w:val="auto"/>
          <w:szCs w:val="21"/>
          <w:highlight w:val="none"/>
        </w:rPr>
        <w:t>认为需要重新进行评标的，评标委员会成员应当按照</w:t>
      </w:r>
      <w:r>
        <w:rPr>
          <w:rFonts w:hint="eastAsia" w:ascii="宋体" w:hAnsi="宋体"/>
          <w:color w:val="auto"/>
          <w:szCs w:val="21"/>
          <w:highlight w:val="none"/>
        </w:rPr>
        <w:t>监管部门</w:t>
      </w:r>
      <w:r>
        <w:rPr>
          <w:rFonts w:ascii="宋体" w:hAnsi="宋体"/>
          <w:color w:val="auto"/>
          <w:szCs w:val="21"/>
          <w:highlight w:val="none"/>
        </w:rPr>
        <w:t>要求重新评标。</w:t>
      </w:r>
    </w:p>
    <w:p w14:paraId="2BCF160D">
      <w:pPr>
        <w:spacing w:line="400" w:lineRule="exact"/>
        <w:ind w:firstLine="210" w:firstLineChars="100"/>
        <w:rPr>
          <w:rFonts w:ascii="宋体" w:hAnsi="宋体"/>
          <w:color w:val="auto"/>
          <w:szCs w:val="21"/>
          <w:highlight w:val="none"/>
        </w:rPr>
      </w:pPr>
      <w:r>
        <w:rPr>
          <w:rFonts w:hint="eastAsia" w:ascii="宋体" w:hAnsi="宋体"/>
          <w:color w:val="auto"/>
          <w:szCs w:val="21"/>
          <w:highlight w:val="none"/>
        </w:rPr>
        <w:t>31.7评标过程的保密</w:t>
      </w:r>
    </w:p>
    <w:p w14:paraId="4273162E">
      <w:pPr>
        <w:spacing w:line="400" w:lineRule="exact"/>
        <w:ind w:firstLine="210" w:firstLineChars="100"/>
        <w:jc w:val="left"/>
        <w:rPr>
          <w:rFonts w:ascii="宋体" w:hAnsi="宋体"/>
          <w:color w:val="auto"/>
          <w:szCs w:val="21"/>
          <w:highlight w:val="none"/>
        </w:rPr>
      </w:pPr>
      <w:r>
        <w:rPr>
          <w:rFonts w:hint="eastAsia" w:ascii="宋体" w:hAnsi="宋体"/>
          <w:color w:val="auto"/>
          <w:szCs w:val="21"/>
          <w:highlight w:val="none"/>
        </w:rPr>
        <w:t>31.7.1  开标后，直至授予中标人合同为止，凡属于对投标文件的审查、澄清、评价和比较有关的资料以及中标人的推荐情况及与评标有关的其他任何情况均须严格保密。</w:t>
      </w:r>
    </w:p>
    <w:p w14:paraId="1B5DB8A1">
      <w:pPr>
        <w:spacing w:line="440" w:lineRule="exact"/>
        <w:ind w:firstLine="422" w:firstLineChars="200"/>
        <w:jc w:val="left"/>
        <w:rPr>
          <w:rFonts w:ascii="宋体"/>
          <w:b/>
          <w:bCs/>
          <w:color w:val="auto"/>
          <w:szCs w:val="21"/>
          <w:highlight w:val="none"/>
        </w:rPr>
      </w:pPr>
      <w:r>
        <w:rPr>
          <w:rFonts w:hint="eastAsia" w:ascii="宋体"/>
          <w:b/>
          <w:bCs/>
          <w:color w:val="auto"/>
          <w:szCs w:val="21"/>
          <w:highlight w:val="none"/>
        </w:rPr>
        <w:t>31.8评标结果公告</w:t>
      </w:r>
    </w:p>
    <w:p w14:paraId="6D2175F1">
      <w:pPr>
        <w:pStyle w:val="8"/>
        <w:spacing w:line="460" w:lineRule="exact"/>
        <w:ind w:firstLine="420" w:firstLineChars="200"/>
        <w:rPr>
          <w:rFonts w:ascii="宋体"/>
          <w:color w:val="auto"/>
          <w:szCs w:val="21"/>
          <w:highlight w:val="none"/>
        </w:rPr>
      </w:pPr>
      <w:r>
        <w:rPr>
          <w:rFonts w:hint="eastAsia" w:ascii="宋体"/>
          <w:color w:val="auto"/>
          <w:szCs w:val="21"/>
          <w:highlight w:val="none"/>
        </w:rPr>
        <w:t>招标人应将</w:t>
      </w:r>
      <w:bookmarkStart w:id="57" w:name="OLE_LINK16"/>
      <w:bookmarkStart w:id="58" w:name="OLE_LINK15"/>
      <w:r>
        <w:rPr>
          <w:rFonts w:hint="eastAsia" w:ascii="宋体"/>
          <w:color w:val="auto"/>
          <w:szCs w:val="21"/>
          <w:highlight w:val="none"/>
        </w:rPr>
        <w:t>中标人情况在“庐阳国</w:t>
      </w:r>
      <w:r>
        <w:rPr>
          <w:rFonts w:hint="eastAsia" w:ascii="宋体"/>
          <w:color w:val="auto"/>
          <w:szCs w:val="21"/>
          <w:highlight w:val="none"/>
          <w:lang w:val="en-US" w:eastAsia="zh-CN"/>
        </w:rPr>
        <w:t>控</w:t>
      </w:r>
      <w:r>
        <w:rPr>
          <w:rFonts w:hint="eastAsia" w:ascii="宋体"/>
          <w:color w:val="auto"/>
          <w:szCs w:val="21"/>
          <w:highlight w:val="none"/>
        </w:rPr>
        <w:t>集团”</w:t>
      </w:r>
      <w:r>
        <w:rPr>
          <w:rFonts w:hint="eastAsia" w:ascii="宋体"/>
          <w:color w:val="auto"/>
          <w:szCs w:val="21"/>
          <w:highlight w:val="none"/>
          <w:lang w:eastAsia="zh-CN"/>
        </w:rPr>
        <w:t>官方网站</w:t>
      </w:r>
      <w:r>
        <w:rPr>
          <w:rFonts w:hint="eastAsia" w:ascii="宋体"/>
          <w:color w:val="auto"/>
          <w:szCs w:val="21"/>
          <w:highlight w:val="none"/>
        </w:rPr>
        <w:t>予以公告，公告期为</w:t>
      </w:r>
      <w:r>
        <w:rPr>
          <w:rFonts w:hint="eastAsia" w:ascii="宋体"/>
          <w:color w:val="auto"/>
          <w:szCs w:val="21"/>
          <w:highlight w:val="none"/>
          <w:lang w:val="en-US" w:eastAsia="zh-CN"/>
        </w:rPr>
        <w:t>3天</w:t>
      </w:r>
      <w:r>
        <w:rPr>
          <w:rFonts w:hint="eastAsia" w:ascii="宋体"/>
          <w:color w:val="auto"/>
          <w:szCs w:val="21"/>
          <w:highlight w:val="none"/>
        </w:rPr>
        <w:t>。</w:t>
      </w:r>
      <w:bookmarkEnd w:id="57"/>
      <w:bookmarkEnd w:id="58"/>
    </w:p>
    <w:p w14:paraId="68DBCFAF">
      <w:pPr>
        <w:snapToGrid w:val="0"/>
        <w:spacing w:line="360" w:lineRule="exact"/>
        <w:ind w:firstLine="422" w:firstLineChars="200"/>
        <w:rPr>
          <w:rFonts w:ascii="宋体" w:hAnsi="宋体"/>
          <w:b/>
          <w:color w:val="auto"/>
          <w:szCs w:val="21"/>
          <w:highlight w:val="none"/>
        </w:rPr>
      </w:pPr>
      <w:r>
        <w:rPr>
          <w:rFonts w:hint="eastAsia" w:ascii="宋体" w:hAnsi="宋体"/>
          <w:b/>
          <w:color w:val="auto"/>
          <w:szCs w:val="21"/>
          <w:highlight w:val="none"/>
        </w:rPr>
        <w:t>32. 定标</w:t>
      </w:r>
    </w:p>
    <w:p w14:paraId="7EA1B14F">
      <w:pPr>
        <w:spacing w:line="400" w:lineRule="exact"/>
        <w:jc w:val="left"/>
        <w:rPr>
          <w:rFonts w:ascii="宋体" w:hAnsi="宋体"/>
          <w:color w:val="auto"/>
          <w:szCs w:val="21"/>
          <w:highlight w:val="none"/>
        </w:rPr>
      </w:pPr>
      <w:r>
        <w:rPr>
          <w:rFonts w:hint="eastAsia" w:ascii="宋体" w:hAnsi="宋体"/>
          <w:color w:val="auto"/>
          <w:szCs w:val="21"/>
          <w:highlight w:val="none"/>
        </w:rPr>
        <w:t xml:space="preserve">    32.1 中标人的确定</w:t>
      </w:r>
    </w:p>
    <w:p w14:paraId="6DF3B9D7">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32.1.1除投标人须知前附表规定评标委员会直接确定中标人外，招标人依据评标委员会推荐的中标人确定中标人，评标委员会推荐中标人的人数见投标人须知前附表。</w:t>
      </w:r>
    </w:p>
    <w:p w14:paraId="2A7E33A2">
      <w:pPr>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32.1.2 中标通知 </w:t>
      </w:r>
      <w:r>
        <w:rPr>
          <w:rFonts w:hint="eastAsia" w:ascii="宋体"/>
          <w:color w:val="auto"/>
          <w:szCs w:val="21"/>
          <w:highlight w:val="none"/>
        </w:rPr>
        <w:t>如公示期内无有效质疑，结果自动转为中标结果。</w:t>
      </w:r>
      <w:bookmarkStart w:id="80" w:name="_GoBack"/>
      <w:bookmarkEnd w:id="80"/>
    </w:p>
    <w:p w14:paraId="24AD26AF">
      <w:pPr>
        <w:pStyle w:val="8"/>
        <w:spacing w:line="460" w:lineRule="exact"/>
        <w:ind w:firstLine="420" w:firstLineChars="200"/>
        <w:rPr>
          <w:rFonts w:ascii="宋体" w:hAnsi="宋体" w:cs="宋体"/>
          <w:color w:val="auto"/>
          <w:highlight w:val="none"/>
        </w:rPr>
      </w:pPr>
      <w:r>
        <w:rPr>
          <w:rFonts w:ascii="宋体"/>
          <w:color w:val="auto"/>
          <w:szCs w:val="21"/>
          <w:highlight w:val="none"/>
        </w:rPr>
        <w:t>32.</w:t>
      </w:r>
      <w:r>
        <w:rPr>
          <w:rFonts w:hint="eastAsia" w:ascii="宋体"/>
          <w:color w:val="auto"/>
          <w:szCs w:val="21"/>
          <w:highlight w:val="none"/>
        </w:rPr>
        <w:t>2本项目采用综合评分法，评标委员会</w:t>
      </w:r>
      <w:r>
        <w:rPr>
          <w:rFonts w:hint="eastAsia" w:ascii="宋体" w:hAnsi="宋体" w:cs="宋体"/>
          <w:color w:val="auto"/>
          <w:highlight w:val="none"/>
        </w:rPr>
        <w:t>应当确定排名第一的中标候选人为中标人。排名第一的中标候选人放弃中标、因不可抗力提出不能履行合同，或者被查实存在影响中标结果的违法行为等情形，不符合中标条件的，招标人顺延选取排名第二的中标候选人。</w:t>
      </w:r>
    </w:p>
    <w:p w14:paraId="5BA04216">
      <w:pPr>
        <w:adjustRightInd w:val="0"/>
        <w:snapToGrid w:val="0"/>
        <w:spacing w:line="400" w:lineRule="exact"/>
        <w:ind w:firstLine="422" w:firstLineChars="200"/>
        <w:rPr>
          <w:rFonts w:ascii="宋体" w:hAnsi="宋体"/>
          <w:b/>
          <w:bCs/>
          <w:color w:val="auto"/>
          <w:kern w:val="10"/>
          <w:szCs w:val="21"/>
          <w:highlight w:val="none"/>
        </w:rPr>
      </w:pPr>
      <w:r>
        <w:rPr>
          <w:rFonts w:hint="eastAsia" w:ascii="宋体" w:hAnsi="宋体"/>
          <w:b/>
          <w:bCs/>
          <w:color w:val="auto"/>
          <w:kern w:val="10"/>
          <w:szCs w:val="21"/>
          <w:highlight w:val="none"/>
        </w:rPr>
        <w:t>备注：本协议条款内容解释权在法律规定的范围内归招标人所有。</w:t>
      </w:r>
    </w:p>
    <w:p w14:paraId="10692FB7">
      <w:pPr>
        <w:adjustRightInd w:val="0"/>
        <w:snapToGrid w:val="0"/>
        <w:spacing w:line="400" w:lineRule="exact"/>
        <w:ind w:firstLine="420" w:firstLineChars="200"/>
        <w:rPr>
          <w:rFonts w:ascii="宋体" w:hAnsi="宋体"/>
          <w:color w:val="auto"/>
          <w:kern w:val="10"/>
          <w:szCs w:val="21"/>
          <w:highlight w:val="none"/>
        </w:rPr>
      </w:pPr>
      <w:r>
        <w:rPr>
          <w:rFonts w:hint="eastAsia" w:ascii="宋体" w:hAnsi="宋体"/>
          <w:color w:val="auto"/>
          <w:kern w:val="10"/>
          <w:szCs w:val="21"/>
          <w:highlight w:val="none"/>
        </w:rPr>
        <w:t>33.变更交易方式</w:t>
      </w:r>
    </w:p>
    <w:p w14:paraId="731778D8">
      <w:pPr>
        <w:adjustRightInd w:val="0"/>
        <w:snapToGrid w:val="0"/>
        <w:spacing w:line="400" w:lineRule="exact"/>
        <w:ind w:firstLine="420" w:firstLineChars="200"/>
        <w:rPr>
          <w:rFonts w:ascii="宋体" w:hAnsi="宋体"/>
          <w:color w:val="auto"/>
          <w:kern w:val="10"/>
          <w:sz w:val="24"/>
          <w:szCs w:val="24"/>
          <w:highlight w:val="none"/>
        </w:rPr>
      </w:pPr>
      <w:r>
        <w:rPr>
          <w:rFonts w:hint="eastAsia" w:ascii="宋体" w:hAnsi="宋体"/>
          <w:color w:val="auto"/>
          <w:kern w:val="10"/>
          <w:szCs w:val="21"/>
          <w:highlight w:val="none"/>
        </w:rPr>
        <w:t>33.1投标截止时间结束后提交投标文件的投标人少于3家或者符合专业条件的投标人或对招标文件作出实质性响应的投标人不足3家的，经招标人同意后，与符合投标资质的投标单位开展磋商或者谈判。</w:t>
      </w:r>
    </w:p>
    <w:p w14:paraId="372A03FE">
      <w:pPr>
        <w:spacing w:line="360" w:lineRule="exact"/>
        <w:jc w:val="center"/>
        <w:rPr>
          <w:rFonts w:ascii="宋体" w:hAnsi="宋体"/>
          <w:b/>
          <w:color w:val="auto"/>
          <w:sz w:val="28"/>
          <w:szCs w:val="28"/>
          <w:highlight w:val="none"/>
        </w:rPr>
      </w:pPr>
      <w:r>
        <w:rPr>
          <w:rFonts w:hint="eastAsia" w:ascii="宋体" w:hAnsi="宋体"/>
          <w:b/>
          <w:color w:val="auto"/>
          <w:sz w:val="28"/>
          <w:szCs w:val="28"/>
          <w:highlight w:val="none"/>
        </w:rPr>
        <w:t>（六）合同的授予</w:t>
      </w:r>
    </w:p>
    <w:p w14:paraId="6DA9D705">
      <w:pPr>
        <w:spacing w:line="360" w:lineRule="exact"/>
        <w:jc w:val="left"/>
        <w:rPr>
          <w:rFonts w:ascii="宋体" w:hAnsi="宋体"/>
          <w:color w:val="auto"/>
          <w:sz w:val="24"/>
          <w:highlight w:val="none"/>
        </w:rPr>
      </w:pPr>
    </w:p>
    <w:p w14:paraId="35E8DD9E">
      <w:pPr>
        <w:spacing w:line="380" w:lineRule="exact"/>
        <w:ind w:firstLine="521" w:firstLineChars="247"/>
        <w:jc w:val="left"/>
        <w:rPr>
          <w:rFonts w:ascii="宋体" w:hAnsi="宋体"/>
          <w:b/>
          <w:color w:val="auto"/>
          <w:szCs w:val="21"/>
          <w:highlight w:val="none"/>
        </w:rPr>
      </w:pPr>
      <w:r>
        <w:rPr>
          <w:rFonts w:hint="eastAsia" w:ascii="宋体" w:hAnsi="宋体"/>
          <w:b/>
          <w:color w:val="auto"/>
          <w:szCs w:val="21"/>
          <w:highlight w:val="none"/>
        </w:rPr>
        <w:t>34. 合同授予标准</w:t>
      </w:r>
    </w:p>
    <w:p w14:paraId="77885937">
      <w:pPr>
        <w:spacing w:line="380" w:lineRule="exact"/>
        <w:ind w:firstLine="525" w:firstLineChars="250"/>
        <w:jc w:val="left"/>
        <w:rPr>
          <w:rFonts w:ascii="宋体" w:hAnsi="宋体"/>
          <w:color w:val="auto"/>
          <w:szCs w:val="21"/>
          <w:highlight w:val="none"/>
        </w:rPr>
      </w:pPr>
      <w:r>
        <w:rPr>
          <w:rFonts w:hint="eastAsia" w:ascii="宋体" w:hAnsi="宋体"/>
          <w:color w:val="auto"/>
          <w:szCs w:val="21"/>
          <w:highlight w:val="none"/>
        </w:rPr>
        <w:t>34.1  本招标项目的合同将授予按本投标须知第32条规定所确定的中标人。</w:t>
      </w:r>
    </w:p>
    <w:p w14:paraId="5BCCC859">
      <w:pPr>
        <w:spacing w:line="380" w:lineRule="exact"/>
        <w:ind w:firstLine="521" w:firstLineChars="247"/>
        <w:jc w:val="left"/>
        <w:rPr>
          <w:rFonts w:ascii="宋体" w:hAnsi="宋体"/>
          <w:b/>
          <w:color w:val="auto"/>
          <w:szCs w:val="21"/>
          <w:highlight w:val="none"/>
        </w:rPr>
      </w:pPr>
      <w:r>
        <w:rPr>
          <w:rFonts w:hint="eastAsia" w:ascii="宋体" w:hAnsi="宋体"/>
          <w:b/>
          <w:color w:val="auto"/>
          <w:szCs w:val="21"/>
          <w:highlight w:val="none"/>
        </w:rPr>
        <w:t>35. 合同协议书的签订</w:t>
      </w:r>
    </w:p>
    <w:p w14:paraId="2EDEA0F8">
      <w:pPr>
        <w:spacing w:line="380" w:lineRule="exact"/>
        <w:ind w:firstLine="518" w:firstLineChars="247"/>
        <w:jc w:val="left"/>
        <w:rPr>
          <w:rFonts w:ascii="宋体" w:hAnsi="宋体"/>
          <w:color w:val="auto"/>
          <w:szCs w:val="21"/>
          <w:highlight w:val="none"/>
        </w:rPr>
      </w:pPr>
      <w:r>
        <w:rPr>
          <w:rFonts w:hint="eastAsia" w:ascii="宋体" w:hAnsi="宋体"/>
          <w:color w:val="auto"/>
          <w:szCs w:val="21"/>
          <w:highlight w:val="none"/>
        </w:rPr>
        <w:t xml:space="preserve">35.1 </w:t>
      </w:r>
      <w:r>
        <w:rPr>
          <w:rFonts w:hint="eastAsia" w:ascii="宋体" w:hAnsi="宋体"/>
          <w:color w:val="auto"/>
          <w:spacing w:val="-6"/>
          <w:szCs w:val="21"/>
          <w:highlight w:val="none"/>
        </w:rPr>
        <w:t>招标人与中标人将于中标通知书发出之日起3</w:t>
      </w:r>
      <w:r>
        <w:rPr>
          <w:rFonts w:ascii="宋体" w:hAnsi="宋体"/>
          <w:color w:val="auto"/>
          <w:spacing w:val="-6"/>
          <w:szCs w:val="21"/>
          <w:highlight w:val="none"/>
        </w:rPr>
        <w:t>0</w:t>
      </w:r>
      <w:r>
        <w:rPr>
          <w:rFonts w:hint="eastAsia" w:ascii="宋体" w:hAnsi="宋体"/>
          <w:color w:val="auto"/>
          <w:spacing w:val="-6"/>
          <w:szCs w:val="21"/>
          <w:highlight w:val="none"/>
        </w:rPr>
        <w:t>日内，按照招标文件和中标人的投标文件订立书面承销协议。招标人和中标人不得再行订立背离合同实质性内容的其他协议。</w:t>
      </w:r>
    </w:p>
    <w:p w14:paraId="5EBBED9B">
      <w:pPr>
        <w:spacing w:line="400" w:lineRule="exact"/>
        <w:ind w:firstLine="525" w:firstLineChars="250"/>
        <w:jc w:val="left"/>
        <w:rPr>
          <w:rFonts w:ascii="宋体" w:hAnsi="宋体"/>
          <w:color w:val="auto"/>
          <w:szCs w:val="21"/>
          <w:highlight w:val="none"/>
        </w:rPr>
      </w:pPr>
      <w:r>
        <w:rPr>
          <w:rFonts w:hint="eastAsia" w:ascii="宋体" w:hAnsi="宋体"/>
          <w:color w:val="auto"/>
          <w:szCs w:val="21"/>
          <w:highlight w:val="none"/>
        </w:rPr>
        <w:t>35.2 中标人如不按本投标须知第35.1条的规定与招标人订立合同，则招标人将废除授标，给招标人造成的损失予以赔偿，同时依法承担相应法律责任。</w:t>
      </w:r>
    </w:p>
    <w:p w14:paraId="3D5D0D38">
      <w:pPr>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35.4  中标人应当按照合同约定履行义务，完成中标项目，不得将中标项目转让（转包）给他人。</w:t>
      </w:r>
    </w:p>
    <w:p w14:paraId="35548A73">
      <w:pPr>
        <w:pStyle w:val="3"/>
        <w:numPr>
          <w:ilvl w:val="1"/>
          <w:numId w:val="0"/>
        </w:numPr>
        <w:spacing w:line="400" w:lineRule="exact"/>
        <w:rPr>
          <w:rFonts w:ascii="宋体" w:hAnsi="宋体"/>
          <w:b/>
          <w:sz w:val="21"/>
          <w:szCs w:val="21"/>
          <w:highlight w:val="none"/>
        </w:rPr>
      </w:pPr>
      <w:r>
        <w:rPr>
          <w:rFonts w:hint="eastAsia" w:ascii="宋体" w:hAnsi="宋体"/>
          <w:sz w:val="21"/>
          <w:szCs w:val="21"/>
          <w:highlight w:val="none"/>
        </w:rPr>
        <w:t xml:space="preserve">    </w:t>
      </w:r>
      <w:r>
        <w:rPr>
          <w:rFonts w:ascii="宋体" w:hAnsi="宋体"/>
          <w:sz w:val="21"/>
          <w:szCs w:val="21"/>
          <w:highlight w:val="none"/>
        </w:rPr>
        <w:t>36.</w:t>
      </w:r>
      <w:bookmarkStart w:id="59" w:name="_Toc217446068"/>
      <w:r>
        <w:rPr>
          <w:rFonts w:ascii="宋体" w:hAnsi="宋体"/>
          <w:sz w:val="21"/>
          <w:szCs w:val="21"/>
          <w:highlight w:val="none"/>
        </w:rPr>
        <w:t xml:space="preserve"> </w:t>
      </w:r>
      <w:r>
        <w:rPr>
          <w:rFonts w:hint="eastAsia" w:ascii="宋体" w:hAnsi="宋体"/>
          <w:b/>
          <w:sz w:val="21"/>
          <w:szCs w:val="21"/>
          <w:highlight w:val="none"/>
        </w:rPr>
        <w:t>履约保证金</w:t>
      </w:r>
      <w:bookmarkEnd w:id="59"/>
      <w:r>
        <w:rPr>
          <w:rFonts w:hint="eastAsia" w:ascii="宋体" w:hAnsi="宋体"/>
          <w:b/>
          <w:sz w:val="21"/>
          <w:szCs w:val="21"/>
          <w:highlight w:val="none"/>
        </w:rPr>
        <w:t>（本条不采用）</w:t>
      </w:r>
    </w:p>
    <w:p w14:paraId="6D10B815">
      <w:pPr>
        <w:adjustRightInd w:val="0"/>
        <w:snapToGrid w:val="0"/>
        <w:spacing w:line="800" w:lineRule="exact"/>
        <w:jc w:val="center"/>
        <w:rPr>
          <w:rFonts w:ascii="宋体" w:hAnsi="宋体"/>
          <w:b/>
          <w:color w:val="auto"/>
          <w:sz w:val="28"/>
          <w:szCs w:val="28"/>
          <w:highlight w:val="none"/>
        </w:rPr>
      </w:pPr>
      <w:r>
        <w:rPr>
          <w:rFonts w:hint="eastAsia" w:ascii="宋体" w:hAnsi="宋体"/>
          <w:b/>
          <w:color w:val="auto"/>
          <w:sz w:val="28"/>
          <w:szCs w:val="28"/>
          <w:highlight w:val="none"/>
        </w:rPr>
        <w:t>（七）纪律和监督</w:t>
      </w:r>
    </w:p>
    <w:p w14:paraId="3B81FC54">
      <w:pPr>
        <w:spacing w:line="400" w:lineRule="exact"/>
        <w:ind w:firstLine="310" w:firstLineChars="147"/>
        <w:jc w:val="left"/>
        <w:rPr>
          <w:rFonts w:ascii="宋体" w:hAnsi="宋体"/>
          <w:b/>
          <w:color w:val="auto"/>
          <w:szCs w:val="21"/>
          <w:highlight w:val="none"/>
        </w:rPr>
      </w:pPr>
      <w:r>
        <w:rPr>
          <w:rFonts w:hint="eastAsia" w:ascii="宋体" w:hAnsi="宋体"/>
          <w:b/>
          <w:color w:val="auto"/>
          <w:szCs w:val="21"/>
          <w:highlight w:val="none"/>
        </w:rPr>
        <w:t xml:space="preserve">37. 对招标人的纪律要求 </w:t>
      </w:r>
    </w:p>
    <w:p w14:paraId="48968EB0">
      <w:pPr>
        <w:adjustRightInd w:val="0"/>
        <w:snapToGrid w:val="0"/>
        <w:spacing w:line="400" w:lineRule="exact"/>
        <w:ind w:firstLine="315" w:firstLineChars="150"/>
        <w:rPr>
          <w:rFonts w:ascii="宋体" w:hAnsi="宋体"/>
          <w:color w:val="auto"/>
          <w:kern w:val="10"/>
          <w:szCs w:val="21"/>
          <w:highlight w:val="none"/>
        </w:rPr>
      </w:pPr>
      <w:r>
        <w:rPr>
          <w:rFonts w:hint="eastAsia" w:ascii="宋体" w:hAnsi="宋体"/>
          <w:color w:val="auto"/>
          <w:kern w:val="10"/>
          <w:szCs w:val="21"/>
          <w:highlight w:val="none"/>
        </w:rPr>
        <w:t xml:space="preserve">37.1招标人不得泄漏招标投标活动中应当保密的情况和资料，不得与投标人串通损害国家利益，社会公共利益或者他人合法权益。 </w:t>
      </w:r>
    </w:p>
    <w:p w14:paraId="6BB6EEDD">
      <w:pPr>
        <w:spacing w:line="400" w:lineRule="exact"/>
        <w:ind w:firstLine="310" w:firstLineChars="147"/>
        <w:jc w:val="left"/>
        <w:rPr>
          <w:rFonts w:ascii="宋体" w:hAnsi="宋体"/>
          <w:b/>
          <w:color w:val="auto"/>
          <w:szCs w:val="21"/>
          <w:highlight w:val="none"/>
        </w:rPr>
      </w:pPr>
      <w:r>
        <w:rPr>
          <w:rFonts w:hint="eastAsia" w:ascii="宋体" w:hAnsi="宋体"/>
          <w:b/>
          <w:color w:val="auto"/>
          <w:szCs w:val="21"/>
          <w:highlight w:val="none"/>
        </w:rPr>
        <w:t xml:space="preserve">38. 对投标人的纪律要求 </w:t>
      </w:r>
    </w:p>
    <w:p w14:paraId="5909604D">
      <w:pPr>
        <w:adjustRightInd w:val="0"/>
        <w:snapToGrid w:val="0"/>
        <w:spacing w:line="400" w:lineRule="exact"/>
        <w:ind w:firstLine="315" w:firstLineChars="150"/>
        <w:rPr>
          <w:rFonts w:ascii="宋体" w:hAnsi="宋体"/>
          <w:color w:val="auto"/>
          <w:kern w:val="10"/>
          <w:szCs w:val="21"/>
          <w:highlight w:val="none"/>
        </w:rPr>
      </w:pPr>
      <w:r>
        <w:rPr>
          <w:rFonts w:hint="eastAsia" w:ascii="宋体" w:hAnsi="宋体"/>
          <w:color w:val="auto"/>
          <w:kern w:val="10"/>
          <w:szCs w:val="21"/>
          <w:highlight w:val="none"/>
        </w:rPr>
        <w:t>38.1投标人不得相互串通投标或者与招标人串通投标，不得向招标人或者评标委员会成员行贿谋取中标，不得以他人名义投标或者以其他方式弄虚作假骗取中标；投标人不得以任何方式干扰、影响评标工作。</w:t>
      </w:r>
    </w:p>
    <w:p w14:paraId="20131BA7">
      <w:pPr>
        <w:spacing w:line="400" w:lineRule="exact"/>
        <w:ind w:firstLine="310" w:firstLineChars="147"/>
        <w:jc w:val="left"/>
        <w:rPr>
          <w:rFonts w:ascii="宋体" w:hAnsi="宋体"/>
          <w:b/>
          <w:color w:val="auto"/>
          <w:szCs w:val="21"/>
          <w:highlight w:val="none"/>
        </w:rPr>
      </w:pPr>
      <w:r>
        <w:rPr>
          <w:rFonts w:hint="eastAsia" w:ascii="宋体" w:hAnsi="宋体"/>
          <w:b/>
          <w:color w:val="auto"/>
          <w:szCs w:val="21"/>
          <w:highlight w:val="none"/>
        </w:rPr>
        <w:t xml:space="preserve">39. 对评标委员会成员的纪律要求 </w:t>
      </w:r>
    </w:p>
    <w:p w14:paraId="3D562872">
      <w:pPr>
        <w:adjustRightInd w:val="0"/>
        <w:snapToGrid w:val="0"/>
        <w:spacing w:line="400" w:lineRule="exact"/>
        <w:ind w:firstLine="315" w:firstLineChars="150"/>
        <w:rPr>
          <w:rFonts w:ascii="宋体" w:hAnsi="宋体"/>
          <w:color w:val="auto"/>
          <w:kern w:val="10"/>
          <w:szCs w:val="21"/>
          <w:highlight w:val="none"/>
        </w:rPr>
      </w:pPr>
      <w:r>
        <w:rPr>
          <w:rFonts w:hint="eastAsia" w:ascii="宋体" w:hAnsi="宋体"/>
          <w:color w:val="auto"/>
          <w:kern w:val="10"/>
          <w:szCs w:val="21"/>
          <w:highlight w:val="none"/>
        </w:rPr>
        <w:t>39.1评标委员会成员不得收受他人的财物或者其他好处，不得向他人透漏对投标文件的评审和比较、中标人的推荐情况以及评标有关的其他情况。</w:t>
      </w:r>
    </w:p>
    <w:p w14:paraId="723E4260">
      <w:pPr>
        <w:adjustRightInd w:val="0"/>
        <w:snapToGrid w:val="0"/>
        <w:spacing w:line="400" w:lineRule="exact"/>
        <w:ind w:firstLine="315" w:firstLineChars="150"/>
        <w:rPr>
          <w:rFonts w:ascii="宋体" w:hAnsi="宋体"/>
          <w:color w:val="auto"/>
          <w:kern w:val="10"/>
          <w:szCs w:val="21"/>
          <w:highlight w:val="none"/>
        </w:rPr>
      </w:pPr>
      <w:r>
        <w:rPr>
          <w:rFonts w:hint="eastAsia" w:ascii="宋体" w:hAnsi="宋体"/>
          <w:color w:val="auto"/>
          <w:kern w:val="10"/>
          <w:szCs w:val="21"/>
          <w:highlight w:val="none"/>
        </w:rPr>
        <w:t xml:space="preserve">39.2在评标活动中，评标委员会成员不得擅离职守，影响评标程序正常进行，不得使用第三章“评标办法”没有规定的评审因素和标准进行评标。 </w:t>
      </w:r>
    </w:p>
    <w:p w14:paraId="05A1C6B8">
      <w:pPr>
        <w:spacing w:line="400" w:lineRule="exact"/>
        <w:ind w:firstLine="310" w:firstLineChars="147"/>
        <w:jc w:val="left"/>
        <w:rPr>
          <w:rFonts w:ascii="宋体" w:hAnsi="宋体"/>
          <w:b/>
          <w:color w:val="auto"/>
          <w:szCs w:val="21"/>
          <w:highlight w:val="none"/>
        </w:rPr>
      </w:pPr>
      <w:r>
        <w:rPr>
          <w:rFonts w:hint="eastAsia" w:ascii="宋体" w:hAnsi="宋体"/>
          <w:b/>
          <w:color w:val="auto"/>
          <w:szCs w:val="21"/>
          <w:highlight w:val="none"/>
        </w:rPr>
        <w:t xml:space="preserve">40. 对与评标活动有关的工作人员的纪律要求 </w:t>
      </w:r>
    </w:p>
    <w:p w14:paraId="1576554E">
      <w:pPr>
        <w:adjustRightInd w:val="0"/>
        <w:snapToGrid w:val="0"/>
        <w:spacing w:line="400" w:lineRule="exact"/>
        <w:ind w:firstLine="315" w:firstLineChars="150"/>
        <w:rPr>
          <w:rFonts w:ascii="宋体" w:hAnsi="宋体"/>
          <w:color w:val="auto"/>
          <w:kern w:val="10"/>
          <w:szCs w:val="21"/>
          <w:highlight w:val="none"/>
        </w:rPr>
      </w:pPr>
      <w:r>
        <w:rPr>
          <w:rFonts w:hint="eastAsia" w:ascii="宋体" w:hAnsi="宋体"/>
          <w:color w:val="auto"/>
          <w:kern w:val="10"/>
          <w:szCs w:val="21"/>
          <w:highlight w:val="none"/>
        </w:rPr>
        <w:t>40.1与评标活动有关的工作人员不得收受他人的财物或者其他好处，不得向他人透漏对投标文件的评审和比较、中标人的推荐情况以及评标有关的其他情况。在评标活动中，与评标活动有关的工作人员不得擅离职守，影响评标程序正常进行。</w:t>
      </w:r>
    </w:p>
    <w:p w14:paraId="1BEA4E1F">
      <w:pPr>
        <w:spacing w:line="400" w:lineRule="exact"/>
        <w:jc w:val="left"/>
        <w:rPr>
          <w:rFonts w:ascii="宋体" w:hAnsi="宋体"/>
          <w:b/>
          <w:color w:val="auto"/>
          <w:sz w:val="24"/>
          <w:highlight w:val="none"/>
        </w:rPr>
      </w:pPr>
    </w:p>
    <w:p w14:paraId="670F7F9E">
      <w:pPr>
        <w:spacing w:line="400" w:lineRule="exact"/>
        <w:ind w:firstLine="843" w:firstLineChars="300"/>
        <w:jc w:val="center"/>
        <w:rPr>
          <w:rFonts w:ascii="宋体" w:hAnsi="宋体"/>
          <w:b/>
          <w:color w:val="auto"/>
          <w:sz w:val="28"/>
          <w:szCs w:val="28"/>
          <w:highlight w:val="none"/>
        </w:rPr>
      </w:pPr>
      <w:r>
        <w:rPr>
          <w:rFonts w:hint="eastAsia" w:ascii="宋体" w:hAnsi="宋体"/>
          <w:b/>
          <w:color w:val="auto"/>
          <w:sz w:val="28"/>
          <w:szCs w:val="28"/>
          <w:highlight w:val="none"/>
        </w:rPr>
        <w:t>（八）质疑与投诉</w:t>
      </w:r>
    </w:p>
    <w:p w14:paraId="015D4613">
      <w:pPr>
        <w:spacing w:line="380" w:lineRule="exact"/>
        <w:ind w:firstLine="314" w:firstLineChars="149"/>
        <w:jc w:val="left"/>
        <w:rPr>
          <w:rFonts w:ascii="宋体" w:hAnsi="宋体"/>
          <w:b/>
          <w:color w:val="auto"/>
          <w:szCs w:val="21"/>
          <w:highlight w:val="none"/>
        </w:rPr>
      </w:pPr>
      <w:r>
        <w:rPr>
          <w:rFonts w:hint="eastAsia" w:ascii="宋体" w:hAnsi="宋体"/>
          <w:b/>
          <w:color w:val="auto"/>
          <w:szCs w:val="21"/>
          <w:highlight w:val="none"/>
        </w:rPr>
        <w:t>41. 质疑</w:t>
      </w:r>
    </w:p>
    <w:p w14:paraId="589DDBC1">
      <w:pPr>
        <w:spacing w:line="400" w:lineRule="exact"/>
        <w:ind w:firstLine="315" w:firstLineChars="150"/>
        <w:jc w:val="left"/>
        <w:rPr>
          <w:rFonts w:ascii="宋体" w:hAnsi="宋体"/>
          <w:color w:val="auto"/>
          <w:szCs w:val="21"/>
          <w:highlight w:val="none"/>
        </w:rPr>
      </w:pPr>
      <w:r>
        <w:rPr>
          <w:rFonts w:hint="eastAsia" w:ascii="宋体" w:hAnsi="宋体"/>
          <w:color w:val="auto"/>
          <w:szCs w:val="21"/>
          <w:highlight w:val="none"/>
        </w:rPr>
        <w:t>41</w:t>
      </w:r>
      <w:r>
        <w:rPr>
          <w:rFonts w:ascii="宋体" w:hAnsi="宋体"/>
          <w:color w:val="auto"/>
          <w:szCs w:val="21"/>
          <w:highlight w:val="none"/>
        </w:rPr>
        <w:t>.1</w:t>
      </w:r>
      <w:r>
        <w:rPr>
          <w:rFonts w:hint="eastAsia" w:ascii="宋体" w:hAnsi="宋体"/>
          <w:color w:val="auto"/>
          <w:szCs w:val="21"/>
          <w:highlight w:val="none"/>
        </w:rPr>
        <w:t xml:space="preserve"> 投标人对招标活动事项有疑问的，可以向招标人（代理机构）提出询问，招标人（代理机构）将在三个工作日内作出答复，但答复的内容不涉及商业秘密。</w:t>
      </w:r>
    </w:p>
    <w:p w14:paraId="4411CB36">
      <w:pPr>
        <w:spacing w:line="400" w:lineRule="exact"/>
        <w:ind w:firstLine="315" w:firstLineChars="150"/>
        <w:jc w:val="left"/>
        <w:rPr>
          <w:rFonts w:ascii="宋体" w:hAnsi="宋体"/>
          <w:color w:val="auto"/>
          <w:szCs w:val="21"/>
          <w:highlight w:val="none"/>
        </w:rPr>
      </w:pPr>
      <w:r>
        <w:rPr>
          <w:rFonts w:hint="eastAsia" w:ascii="宋体" w:hAnsi="宋体"/>
          <w:color w:val="auto"/>
          <w:szCs w:val="21"/>
          <w:highlight w:val="none"/>
        </w:rPr>
        <w:t>41.2 投标人认为招标文件、采购过程和中标结果使自己的合法权益受到损害的，可以在知道或者应当知道其权益受到损害之日起七个工作日内，以书面形式将质疑文件原件送达招标人。</w:t>
      </w:r>
    </w:p>
    <w:p w14:paraId="1210C1FA">
      <w:pPr>
        <w:spacing w:line="400" w:lineRule="exact"/>
        <w:ind w:firstLine="315" w:firstLineChars="150"/>
        <w:jc w:val="left"/>
        <w:rPr>
          <w:rFonts w:ascii="宋体"/>
          <w:color w:val="auto"/>
          <w:kern w:val="10"/>
          <w:szCs w:val="21"/>
          <w:highlight w:val="none"/>
        </w:rPr>
      </w:pPr>
      <w:r>
        <w:rPr>
          <w:rFonts w:hint="eastAsia" w:ascii="宋体"/>
          <w:color w:val="auto"/>
          <w:kern w:val="10"/>
          <w:szCs w:val="21"/>
          <w:highlight w:val="none"/>
        </w:rPr>
        <w:t>41.3</w:t>
      </w:r>
      <w:r>
        <w:rPr>
          <w:rFonts w:ascii="宋体"/>
          <w:color w:val="auto"/>
          <w:kern w:val="10"/>
          <w:szCs w:val="21"/>
          <w:highlight w:val="none"/>
        </w:rPr>
        <w:t>中标公告</w:t>
      </w:r>
      <w:r>
        <w:rPr>
          <w:rFonts w:hint="eastAsia" w:ascii="宋体"/>
          <w:color w:val="auto"/>
          <w:kern w:val="10"/>
          <w:szCs w:val="21"/>
          <w:highlight w:val="none"/>
        </w:rPr>
        <w:t>发</w:t>
      </w:r>
      <w:r>
        <w:rPr>
          <w:rFonts w:ascii="宋体"/>
          <w:color w:val="auto"/>
          <w:kern w:val="10"/>
          <w:szCs w:val="21"/>
          <w:highlight w:val="none"/>
        </w:rPr>
        <w:t>布后，参与投标的投标人对中标公告有异议的，应该在中标公告</w:t>
      </w:r>
      <w:r>
        <w:rPr>
          <w:rFonts w:hint="eastAsia" w:ascii="宋体"/>
          <w:color w:val="auto"/>
          <w:kern w:val="10"/>
          <w:szCs w:val="21"/>
          <w:highlight w:val="none"/>
        </w:rPr>
        <w:t>发布之日起或公告期限届满</w:t>
      </w:r>
      <w:r>
        <w:rPr>
          <w:rFonts w:ascii="宋体"/>
          <w:color w:val="auto"/>
          <w:kern w:val="10"/>
          <w:szCs w:val="21"/>
          <w:highlight w:val="none"/>
        </w:rPr>
        <w:t>之日起七个工作日内向招标人书面提出质疑。但属于第</w:t>
      </w:r>
      <w:r>
        <w:rPr>
          <w:rFonts w:hint="eastAsia" w:ascii="宋体"/>
          <w:color w:val="auto"/>
          <w:kern w:val="10"/>
          <w:szCs w:val="21"/>
          <w:highlight w:val="none"/>
        </w:rPr>
        <w:t>41</w:t>
      </w:r>
      <w:r>
        <w:rPr>
          <w:rFonts w:ascii="宋体"/>
          <w:color w:val="auto"/>
          <w:kern w:val="10"/>
          <w:szCs w:val="21"/>
          <w:highlight w:val="none"/>
        </w:rPr>
        <w:t>.1</w:t>
      </w:r>
      <w:r>
        <w:rPr>
          <w:rFonts w:hint="eastAsia" w:ascii="宋体"/>
          <w:color w:val="auto"/>
          <w:kern w:val="10"/>
          <w:szCs w:val="21"/>
          <w:highlight w:val="none"/>
        </w:rPr>
        <w:t>条</w:t>
      </w:r>
      <w:r>
        <w:rPr>
          <w:rFonts w:ascii="宋体"/>
          <w:color w:val="auto"/>
          <w:kern w:val="10"/>
          <w:szCs w:val="21"/>
          <w:highlight w:val="none"/>
        </w:rPr>
        <w:t>问题，且未在规定时间提出质疑的，</w:t>
      </w:r>
      <w:r>
        <w:rPr>
          <w:rFonts w:hint="eastAsia" w:ascii="宋体"/>
          <w:color w:val="auto"/>
          <w:kern w:val="10"/>
          <w:szCs w:val="21"/>
          <w:highlight w:val="none"/>
        </w:rPr>
        <w:t>不予受理</w:t>
      </w:r>
      <w:r>
        <w:rPr>
          <w:rFonts w:ascii="宋体"/>
          <w:color w:val="auto"/>
          <w:kern w:val="10"/>
          <w:szCs w:val="21"/>
          <w:highlight w:val="none"/>
        </w:rPr>
        <w:t>。</w:t>
      </w:r>
    </w:p>
    <w:p w14:paraId="733DC8E2">
      <w:pPr>
        <w:spacing w:line="400" w:lineRule="exact"/>
        <w:ind w:firstLine="315" w:firstLineChars="150"/>
        <w:jc w:val="left"/>
        <w:rPr>
          <w:rFonts w:ascii="宋体"/>
          <w:color w:val="auto"/>
          <w:kern w:val="10"/>
          <w:szCs w:val="21"/>
          <w:highlight w:val="none"/>
        </w:rPr>
      </w:pPr>
      <w:r>
        <w:rPr>
          <w:rFonts w:hint="eastAsia" w:ascii="宋体"/>
          <w:color w:val="auto"/>
          <w:kern w:val="10"/>
          <w:szCs w:val="21"/>
          <w:highlight w:val="none"/>
        </w:rPr>
        <w:t>41.4参与投标的投标人对中标公告提出的书面质疑，负有举证的责任。在质疑函中应清楚地写明所质疑的项目名称、标段号标段名（如果有分标段）、质疑的事项与事实等内容，并附上质疑事项、事实的证明文件。投标人在经其法定代表人签字并盖上投标人公章后，将该质疑函递交至招标人或代理机构。</w:t>
      </w:r>
    </w:p>
    <w:p w14:paraId="6B5DE544">
      <w:pPr>
        <w:spacing w:line="400" w:lineRule="exact"/>
        <w:ind w:firstLine="315" w:firstLineChars="150"/>
        <w:jc w:val="left"/>
        <w:rPr>
          <w:rFonts w:ascii="宋体"/>
          <w:color w:val="auto"/>
          <w:kern w:val="10"/>
          <w:szCs w:val="21"/>
          <w:highlight w:val="none"/>
        </w:rPr>
      </w:pPr>
      <w:r>
        <w:rPr>
          <w:rFonts w:hint="eastAsia" w:ascii="宋体"/>
          <w:color w:val="auto"/>
          <w:kern w:val="10"/>
          <w:szCs w:val="21"/>
          <w:highlight w:val="none"/>
        </w:rPr>
        <w:t>41.5招标人或代理机构在收到投标人的质疑函后，将审查质疑函的格式、内容以及所附的证明文件是否符合要求。如不符合，说明原因退回投标人；如符合要求，则接受该质疑函并向投标人出具受理证明。</w:t>
      </w:r>
    </w:p>
    <w:p w14:paraId="476DB7FC">
      <w:pPr>
        <w:spacing w:line="400" w:lineRule="exact"/>
        <w:ind w:firstLine="315" w:firstLineChars="150"/>
        <w:jc w:val="left"/>
        <w:rPr>
          <w:rFonts w:ascii="宋体"/>
          <w:color w:val="auto"/>
          <w:kern w:val="10"/>
          <w:szCs w:val="21"/>
          <w:highlight w:val="none"/>
        </w:rPr>
      </w:pPr>
      <w:r>
        <w:rPr>
          <w:rFonts w:hint="eastAsia" w:ascii="宋体"/>
          <w:color w:val="auto"/>
          <w:kern w:val="10"/>
          <w:szCs w:val="21"/>
          <w:highlight w:val="none"/>
        </w:rPr>
        <w:t>41.6处理质疑的时间，从实际接受投标人质疑函、出具受理证明的时间开始计算。</w:t>
      </w:r>
    </w:p>
    <w:p w14:paraId="55E92A11">
      <w:pPr>
        <w:spacing w:line="380" w:lineRule="exact"/>
        <w:ind w:firstLine="314" w:firstLineChars="149"/>
        <w:jc w:val="left"/>
        <w:rPr>
          <w:rFonts w:ascii="宋体" w:hAnsi="宋体"/>
          <w:b/>
          <w:color w:val="auto"/>
          <w:szCs w:val="21"/>
          <w:highlight w:val="none"/>
        </w:rPr>
      </w:pPr>
      <w:r>
        <w:rPr>
          <w:rFonts w:hint="eastAsia" w:ascii="宋体" w:hAnsi="宋体"/>
          <w:b/>
          <w:color w:val="auto"/>
          <w:szCs w:val="21"/>
          <w:highlight w:val="none"/>
        </w:rPr>
        <w:t>42. 投诉</w:t>
      </w:r>
    </w:p>
    <w:p w14:paraId="2A390E7E">
      <w:pPr>
        <w:spacing w:line="400" w:lineRule="exact"/>
        <w:ind w:firstLine="315" w:firstLineChars="150"/>
        <w:jc w:val="left"/>
        <w:rPr>
          <w:color w:val="auto"/>
          <w:highlight w:val="none"/>
        </w:rPr>
      </w:pPr>
      <w:r>
        <w:rPr>
          <w:rFonts w:hint="eastAsia" w:ascii="宋体" w:hAnsi="宋体"/>
          <w:color w:val="auto"/>
          <w:szCs w:val="21"/>
          <w:highlight w:val="none"/>
        </w:rPr>
        <w:t>42.1</w:t>
      </w:r>
      <w:r>
        <w:rPr>
          <w:rFonts w:ascii="宋体"/>
          <w:color w:val="auto"/>
          <w:kern w:val="10"/>
          <w:szCs w:val="21"/>
          <w:highlight w:val="none"/>
        </w:rPr>
        <w:t>投标人对招标人的答复不满意，或者招标人未在规定的时间内答复的，可以在答复期满后十五个工作日内按有关规定，向</w:t>
      </w:r>
      <w:r>
        <w:rPr>
          <w:rFonts w:hint="eastAsia" w:ascii="宋体"/>
          <w:color w:val="auto"/>
          <w:kern w:val="10"/>
          <w:szCs w:val="21"/>
          <w:highlight w:val="none"/>
        </w:rPr>
        <w:t>相关监管部门</w:t>
      </w:r>
      <w:r>
        <w:rPr>
          <w:rFonts w:ascii="宋体"/>
          <w:color w:val="auto"/>
          <w:kern w:val="10"/>
          <w:szCs w:val="21"/>
          <w:highlight w:val="none"/>
        </w:rPr>
        <w:t>进行投诉。</w:t>
      </w:r>
    </w:p>
    <w:p w14:paraId="4B5E880D">
      <w:pPr>
        <w:spacing w:line="340" w:lineRule="exact"/>
        <w:rPr>
          <w:rFonts w:ascii="宋体" w:hAnsi="宋体"/>
          <w:b/>
          <w:color w:val="auto"/>
          <w:sz w:val="30"/>
          <w:szCs w:val="30"/>
          <w:highlight w:val="none"/>
        </w:rPr>
      </w:pPr>
    </w:p>
    <w:p w14:paraId="400DB433">
      <w:pPr>
        <w:spacing w:line="340" w:lineRule="exact"/>
        <w:jc w:val="center"/>
        <w:rPr>
          <w:rFonts w:ascii="宋体" w:hAnsi="宋体"/>
          <w:b/>
          <w:color w:val="auto"/>
          <w:sz w:val="30"/>
          <w:szCs w:val="30"/>
          <w:highlight w:val="none"/>
        </w:rPr>
        <w:sectPr>
          <w:footerReference r:id="rId6" w:type="default"/>
          <w:pgSz w:w="11906" w:h="16838"/>
          <w:pgMar w:top="1440" w:right="1800" w:bottom="1440" w:left="1800" w:header="851" w:footer="992" w:gutter="0"/>
          <w:pgNumType w:start="1"/>
          <w:cols w:space="720" w:num="1"/>
          <w:docGrid w:type="lines" w:linePitch="312" w:charSpace="0"/>
        </w:sectPr>
      </w:pPr>
    </w:p>
    <w:p w14:paraId="4A3E56DA">
      <w:pPr>
        <w:spacing w:line="240" w:lineRule="auto"/>
        <w:jc w:val="center"/>
        <w:outlineLvl w:val="0"/>
        <w:rPr>
          <w:rFonts w:ascii="宋体" w:hAnsi="宋体"/>
          <w:b/>
          <w:bCs/>
          <w:color w:val="auto"/>
          <w:sz w:val="32"/>
          <w:highlight w:val="none"/>
        </w:rPr>
      </w:pPr>
      <w:bookmarkStart w:id="60" w:name="_Toc16458"/>
      <w:r>
        <w:rPr>
          <w:rFonts w:hint="eastAsia" w:ascii="宋体" w:hAnsi="宋体"/>
          <w:b/>
          <w:bCs/>
          <w:color w:val="auto"/>
          <w:sz w:val="32"/>
          <w:highlight w:val="none"/>
        </w:rPr>
        <w:t>第三章  评标办法</w:t>
      </w:r>
      <w:bookmarkEnd w:id="60"/>
    </w:p>
    <w:p w14:paraId="297457FA">
      <w:pPr>
        <w:spacing w:beforeLines="100" w:afterLines="100" w:line="340" w:lineRule="exact"/>
        <w:jc w:val="center"/>
        <w:outlineLvl w:val="0"/>
        <w:rPr>
          <w:rFonts w:ascii="宋体" w:hAnsi="宋体"/>
          <w:b/>
          <w:color w:val="auto"/>
          <w:sz w:val="28"/>
          <w:szCs w:val="28"/>
          <w:highlight w:val="none"/>
        </w:rPr>
      </w:pPr>
      <w:bookmarkStart w:id="61" w:name="_Toc10914"/>
      <w:bookmarkStart w:id="62" w:name="_Toc27913"/>
      <w:r>
        <w:rPr>
          <w:rFonts w:hint="eastAsia" w:ascii="宋体" w:hAnsi="宋体"/>
          <w:b/>
          <w:color w:val="auto"/>
          <w:sz w:val="28"/>
          <w:szCs w:val="28"/>
          <w:highlight w:val="none"/>
        </w:rPr>
        <w:t>一  总则</w:t>
      </w:r>
      <w:bookmarkEnd w:id="61"/>
      <w:bookmarkEnd w:id="62"/>
    </w:p>
    <w:p w14:paraId="53BAD369">
      <w:pPr>
        <w:spacing w:line="440" w:lineRule="exact"/>
        <w:ind w:firstLine="316" w:firstLineChars="150"/>
        <w:jc w:val="left"/>
        <w:rPr>
          <w:rFonts w:ascii="宋体"/>
          <w:b/>
          <w:color w:val="auto"/>
          <w:szCs w:val="21"/>
          <w:highlight w:val="none"/>
        </w:rPr>
      </w:pPr>
      <w:r>
        <w:rPr>
          <w:rFonts w:hint="eastAsia" w:ascii="宋体"/>
          <w:b/>
          <w:color w:val="auto"/>
          <w:szCs w:val="21"/>
          <w:highlight w:val="none"/>
        </w:rPr>
        <w:t xml:space="preserve"> 1. 本次评标采用综合评分法</w:t>
      </w:r>
    </w:p>
    <w:p w14:paraId="09CA2765">
      <w:pPr>
        <w:spacing w:line="440" w:lineRule="exact"/>
        <w:ind w:firstLine="420" w:firstLineChars="200"/>
        <w:jc w:val="left"/>
        <w:rPr>
          <w:rFonts w:ascii="宋体"/>
          <w:color w:val="auto"/>
          <w:szCs w:val="21"/>
          <w:highlight w:val="none"/>
        </w:rPr>
      </w:pPr>
      <w:r>
        <w:rPr>
          <w:rFonts w:hint="eastAsia" w:ascii="宋体"/>
          <w:color w:val="auto"/>
          <w:szCs w:val="21"/>
          <w:highlight w:val="none"/>
        </w:rPr>
        <w:t>1.1综合评分法是指投标文件满足招标文件全部实质性要求且按照评审因素的量化指标评审总得分从高到低的供应商为中标人的评标方法。</w:t>
      </w:r>
    </w:p>
    <w:p w14:paraId="25F274C6">
      <w:pPr>
        <w:spacing w:line="440" w:lineRule="exact"/>
        <w:ind w:firstLine="420" w:firstLineChars="200"/>
        <w:jc w:val="left"/>
        <w:rPr>
          <w:rFonts w:ascii="宋体"/>
          <w:color w:val="auto"/>
          <w:szCs w:val="21"/>
          <w:highlight w:val="none"/>
        </w:rPr>
      </w:pPr>
      <w:r>
        <w:rPr>
          <w:rFonts w:hint="eastAsia" w:ascii="宋体"/>
          <w:color w:val="auto"/>
          <w:szCs w:val="21"/>
          <w:highlight w:val="none"/>
        </w:rPr>
        <w:t>1.2综合评分法一般适用于较为复杂、评价指标难以量化且价格为非主要因素的非标准定制商品和非通用服务项目的项目评审。</w:t>
      </w:r>
    </w:p>
    <w:p w14:paraId="6844A835">
      <w:pPr>
        <w:spacing w:line="440" w:lineRule="exact"/>
        <w:ind w:firstLine="422" w:firstLineChars="200"/>
        <w:rPr>
          <w:rFonts w:ascii="宋体"/>
          <w:b/>
          <w:color w:val="auto"/>
          <w:szCs w:val="21"/>
          <w:highlight w:val="none"/>
        </w:rPr>
      </w:pPr>
      <w:r>
        <w:rPr>
          <w:rFonts w:hint="eastAsia" w:ascii="宋体"/>
          <w:b/>
          <w:color w:val="auto"/>
          <w:szCs w:val="21"/>
          <w:highlight w:val="none"/>
        </w:rPr>
        <w:t>2．评标程序</w:t>
      </w:r>
    </w:p>
    <w:p w14:paraId="3509753E">
      <w:pPr>
        <w:spacing w:line="440" w:lineRule="exact"/>
        <w:ind w:firstLine="420" w:firstLineChars="200"/>
        <w:jc w:val="left"/>
        <w:rPr>
          <w:rFonts w:ascii="宋体"/>
          <w:color w:val="auto"/>
          <w:szCs w:val="21"/>
          <w:highlight w:val="none"/>
        </w:rPr>
      </w:pPr>
      <w:r>
        <w:rPr>
          <w:rFonts w:hint="eastAsia" w:ascii="宋体"/>
          <w:color w:val="auto"/>
          <w:szCs w:val="21"/>
          <w:highlight w:val="none"/>
        </w:rPr>
        <w:t>2.1投标文件的初审</w:t>
      </w:r>
    </w:p>
    <w:p w14:paraId="75EA6D94">
      <w:pPr>
        <w:spacing w:line="440" w:lineRule="exact"/>
        <w:ind w:firstLine="420" w:firstLineChars="200"/>
        <w:jc w:val="left"/>
        <w:rPr>
          <w:rFonts w:ascii="宋体"/>
          <w:color w:val="auto"/>
          <w:szCs w:val="21"/>
          <w:highlight w:val="none"/>
        </w:rPr>
      </w:pPr>
      <w:r>
        <w:rPr>
          <w:rFonts w:hint="eastAsia" w:ascii="宋体"/>
          <w:color w:val="auto"/>
          <w:szCs w:val="21"/>
          <w:highlight w:val="none"/>
        </w:rPr>
        <w:t xml:space="preserve">2.1.1资格性检查。依据法律法规和招标文件的规定，对投标文件中的资格证明、投标保证金等进行审查，以确定投标人是否具备投标资格。 </w:t>
      </w:r>
    </w:p>
    <w:p w14:paraId="3504560D">
      <w:pPr>
        <w:spacing w:line="440" w:lineRule="exact"/>
        <w:ind w:firstLine="420" w:firstLineChars="200"/>
        <w:jc w:val="left"/>
        <w:rPr>
          <w:rFonts w:ascii="宋体"/>
          <w:color w:val="auto"/>
          <w:szCs w:val="21"/>
          <w:highlight w:val="none"/>
        </w:rPr>
      </w:pPr>
      <w:r>
        <w:rPr>
          <w:rFonts w:hint="eastAsia" w:ascii="宋体"/>
          <w:color w:val="auto"/>
          <w:szCs w:val="21"/>
          <w:highlight w:val="none"/>
        </w:rPr>
        <w:t>2.1.2符合性检查。依据招标文件的规定，从投标文件的有效性、完整性和对招标文件的响应程度进行审查，以确定投标人是否对招标文件的实质性要求作出响应。</w:t>
      </w:r>
    </w:p>
    <w:p w14:paraId="608501DA">
      <w:pPr>
        <w:spacing w:line="440" w:lineRule="exact"/>
        <w:ind w:firstLine="420" w:firstLineChars="200"/>
        <w:jc w:val="left"/>
        <w:rPr>
          <w:rFonts w:ascii="宋体"/>
          <w:color w:val="auto"/>
          <w:szCs w:val="21"/>
          <w:highlight w:val="none"/>
        </w:rPr>
      </w:pPr>
      <w:r>
        <w:rPr>
          <w:rFonts w:hint="eastAsia" w:ascii="宋体"/>
          <w:color w:val="auto"/>
          <w:szCs w:val="21"/>
          <w:highlight w:val="none"/>
        </w:rPr>
        <w:t>2.2</w:t>
      </w:r>
      <w:r>
        <w:rPr>
          <w:rFonts w:ascii="宋体"/>
          <w:color w:val="auto"/>
          <w:szCs w:val="21"/>
          <w:highlight w:val="none"/>
        </w:rPr>
        <w:t xml:space="preserve"> </w:t>
      </w:r>
      <w:r>
        <w:rPr>
          <w:rFonts w:hint="eastAsia" w:ascii="宋体"/>
          <w:color w:val="auto"/>
          <w:szCs w:val="21"/>
          <w:highlight w:val="none"/>
        </w:rPr>
        <w:t>比较与评价</w:t>
      </w:r>
    </w:p>
    <w:p w14:paraId="6C3380A8">
      <w:pPr>
        <w:spacing w:line="440" w:lineRule="exact"/>
        <w:ind w:firstLine="420" w:firstLineChars="200"/>
        <w:jc w:val="left"/>
        <w:rPr>
          <w:rFonts w:ascii="宋体"/>
          <w:color w:val="auto"/>
          <w:szCs w:val="21"/>
          <w:highlight w:val="none"/>
        </w:rPr>
      </w:pPr>
      <w:r>
        <w:rPr>
          <w:rFonts w:hint="eastAsia" w:ascii="宋体"/>
          <w:color w:val="auto"/>
          <w:szCs w:val="21"/>
          <w:highlight w:val="none"/>
        </w:rPr>
        <w:t>2.2.1按招标文件中规定的评标方法和标准，对资格性检查和符合性检查合格的投标文件进行资信、商务和技术评审，综合比较与评价。</w:t>
      </w:r>
    </w:p>
    <w:p w14:paraId="7DBBED37">
      <w:pPr>
        <w:spacing w:line="440" w:lineRule="exact"/>
        <w:ind w:firstLine="420" w:firstLineChars="200"/>
        <w:jc w:val="left"/>
        <w:rPr>
          <w:rFonts w:ascii="宋体"/>
          <w:color w:val="auto"/>
          <w:szCs w:val="21"/>
          <w:highlight w:val="none"/>
        </w:rPr>
      </w:pPr>
      <w:r>
        <w:rPr>
          <w:rFonts w:hint="eastAsia" w:ascii="宋体"/>
          <w:color w:val="auto"/>
          <w:szCs w:val="21"/>
          <w:highlight w:val="none"/>
        </w:rPr>
        <w:t>2.3推荐中标人名单</w:t>
      </w:r>
    </w:p>
    <w:p w14:paraId="68DBCF6B">
      <w:pPr>
        <w:spacing w:line="440" w:lineRule="exact"/>
        <w:ind w:firstLine="420" w:firstLineChars="200"/>
        <w:jc w:val="left"/>
        <w:rPr>
          <w:rFonts w:ascii="宋体"/>
          <w:color w:val="auto"/>
          <w:szCs w:val="21"/>
          <w:highlight w:val="none"/>
        </w:rPr>
      </w:pPr>
      <w:r>
        <w:rPr>
          <w:rFonts w:hint="eastAsia" w:ascii="宋体"/>
          <w:color w:val="auto"/>
          <w:szCs w:val="21"/>
          <w:highlight w:val="none"/>
        </w:rPr>
        <w:t>2.3.1中标人数量应当根据采购需要确定，但必须按顺序排列中标人。</w:t>
      </w:r>
    </w:p>
    <w:p w14:paraId="03218DC4">
      <w:pPr>
        <w:spacing w:line="440" w:lineRule="exact"/>
        <w:ind w:firstLine="420" w:firstLineChars="200"/>
        <w:jc w:val="left"/>
        <w:rPr>
          <w:color w:val="auto"/>
          <w:highlight w:val="none"/>
        </w:rPr>
      </w:pPr>
      <w:r>
        <w:rPr>
          <w:rFonts w:hint="eastAsia" w:ascii="宋体"/>
          <w:color w:val="auto"/>
          <w:szCs w:val="21"/>
          <w:highlight w:val="none"/>
        </w:rPr>
        <w:t>2.4在投标文件的审查、澄清、评价和比较以及授予合同过程中，投标单位对招标单位和评标委员会成员施加影响的任何行为，都将导致取消其中标资格。</w:t>
      </w:r>
    </w:p>
    <w:p w14:paraId="00987355">
      <w:pPr>
        <w:spacing w:beforeLines="50" w:afterLines="50" w:line="360" w:lineRule="auto"/>
        <w:jc w:val="center"/>
        <w:outlineLvl w:val="0"/>
        <w:rPr>
          <w:color w:val="auto"/>
          <w:highlight w:val="none"/>
        </w:rPr>
      </w:pPr>
      <w:bookmarkStart w:id="63" w:name="_Toc1552"/>
      <w:bookmarkStart w:id="64" w:name="_Toc28622"/>
      <w:r>
        <w:rPr>
          <w:rFonts w:hint="eastAsia" w:ascii="宋体" w:hAnsi="宋体"/>
          <w:b/>
          <w:color w:val="auto"/>
          <w:sz w:val="28"/>
          <w:szCs w:val="28"/>
          <w:highlight w:val="none"/>
        </w:rPr>
        <w:t>二  投标文件初审</w:t>
      </w:r>
      <w:bookmarkEnd w:id="63"/>
      <w:bookmarkEnd w:id="64"/>
    </w:p>
    <w:p w14:paraId="79440D83">
      <w:pPr>
        <w:spacing w:beforeLines="100" w:line="400" w:lineRule="exact"/>
        <w:ind w:firstLine="354" w:firstLineChars="147"/>
        <w:outlineLvl w:val="0"/>
        <w:rPr>
          <w:rFonts w:ascii="宋体" w:hAnsi="宋体"/>
          <w:color w:val="auto"/>
          <w:sz w:val="24"/>
          <w:szCs w:val="24"/>
          <w:highlight w:val="none"/>
        </w:rPr>
      </w:pPr>
      <w:bookmarkStart w:id="65" w:name="_Toc10451"/>
      <w:bookmarkStart w:id="66" w:name="_Toc20434"/>
      <w:r>
        <w:rPr>
          <w:rFonts w:hint="eastAsia" w:ascii="宋体" w:hAnsi="宋体"/>
          <w:b/>
          <w:color w:val="auto"/>
          <w:sz w:val="24"/>
          <w:highlight w:val="none"/>
        </w:rPr>
        <w:t>3.资格性审查:</w:t>
      </w:r>
      <w:bookmarkEnd w:id="65"/>
      <w:bookmarkEnd w:id="66"/>
    </w:p>
    <w:tbl>
      <w:tblPr>
        <w:tblStyle w:val="26"/>
        <w:tblW w:w="91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036"/>
        <w:gridCol w:w="3084"/>
        <w:gridCol w:w="4261"/>
      </w:tblGrid>
      <w:tr w14:paraId="4F019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25" w:type="dxa"/>
            <w:vAlign w:val="center"/>
          </w:tcPr>
          <w:p w14:paraId="48AA4CC2">
            <w:pPr>
              <w:spacing w:line="460" w:lineRule="exact"/>
              <w:jc w:val="center"/>
              <w:rPr>
                <w:color w:val="auto"/>
                <w:highlight w:val="none"/>
              </w:rPr>
            </w:pPr>
            <w:r>
              <w:rPr>
                <w:rFonts w:hint="eastAsia" w:ascii="黑体" w:eastAsia="黑体" w:cs="黑体"/>
                <w:b/>
                <w:bCs/>
                <w:color w:val="auto"/>
                <w:szCs w:val="21"/>
                <w:highlight w:val="none"/>
              </w:rPr>
              <w:t>序号</w:t>
            </w:r>
          </w:p>
        </w:tc>
        <w:tc>
          <w:tcPr>
            <w:tcW w:w="4120" w:type="dxa"/>
            <w:gridSpan w:val="2"/>
            <w:vAlign w:val="center"/>
          </w:tcPr>
          <w:p w14:paraId="795B7C2E">
            <w:pPr>
              <w:spacing w:line="460" w:lineRule="exact"/>
              <w:jc w:val="center"/>
              <w:rPr>
                <w:color w:val="auto"/>
                <w:highlight w:val="none"/>
              </w:rPr>
            </w:pPr>
            <w:r>
              <w:rPr>
                <w:rFonts w:hint="eastAsia" w:ascii="宋体" w:hAnsi="宋体"/>
                <w:color w:val="auto"/>
                <w:szCs w:val="21"/>
                <w:highlight w:val="none"/>
              </w:rPr>
              <w:t>评审因素</w:t>
            </w:r>
          </w:p>
        </w:tc>
        <w:tc>
          <w:tcPr>
            <w:tcW w:w="4261" w:type="dxa"/>
            <w:vAlign w:val="center"/>
          </w:tcPr>
          <w:p w14:paraId="76B9D4F5">
            <w:pPr>
              <w:spacing w:line="460" w:lineRule="exact"/>
              <w:jc w:val="center"/>
              <w:rPr>
                <w:color w:val="auto"/>
                <w:highlight w:val="none"/>
              </w:rPr>
            </w:pPr>
            <w:r>
              <w:rPr>
                <w:rFonts w:hint="eastAsia" w:ascii="宋体" w:hAnsi="宋体"/>
                <w:color w:val="auto"/>
                <w:szCs w:val="21"/>
                <w:highlight w:val="none"/>
              </w:rPr>
              <w:t>评审标准</w:t>
            </w:r>
          </w:p>
        </w:tc>
      </w:tr>
      <w:tr w14:paraId="1DC5F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25" w:type="dxa"/>
            <w:vAlign w:val="center"/>
          </w:tcPr>
          <w:p w14:paraId="09D40DF5">
            <w:pPr>
              <w:spacing w:line="460" w:lineRule="exact"/>
              <w:jc w:val="center"/>
              <w:rPr>
                <w:rFonts w:ascii="宋体" w:hAnsi="宋体"/>
                <w:color w:val="auto"/>
                <w:szCs w:val="21"/>
                <w:highlight w:val="none"/>
              </w:rPr>
            </w:pPr>
            <w:r>
              <w:rPr>
                <w:rFonts w:hint="eastAsia" w:ascii="宋体" w:hAnsi="宋体"/>
                <w:color w:val="auto"/>
                <w:szCs w:val="21"/>
                <w:highlight w:val="none"/>
              </w:rPr>
              <w:t>1</w:t>
            </w:r>
          </w:p>
        </w:tc>
        <w:tc>
          <w:tcPr>
            <w:tcW w:w="1036" w:type="dxa"/>
            <w:vAlign w:val="center"/>
          </w:tcPr>
          <w:p w14:paraId="6BF93D56">
            <w:pPr>
              <w:spacing w:line="460" w:lineRule="exact"/>
              <w:jc w:val="center"/>
              <w:rPr>
                <w:rFonts w:ascii="宋体" w:hAnsi="宋体"/>
                <w:color w:val="auto"/>
                <w:szCs w:val="21"/>
                <w:highlight w:val="none"/>
              </w:rPr>
            </w:pPr>
            <w:r>
              <w:rPr>
                <w:rFonts w:hint="eastAsia" w:ascii="宋体"/>
                <w:color w:val="auto"/>
                <w:szCs w:val="21"/>
                <w:highlight w:val="none"/>
              </w:rPr>
              <w:t>重要要求</w:t>
            </w:r>
          </w:p>
        </w:tc>
        <w:tc>
          <w:tcPr>
            <w:tcW w:w="3084" w:type="dxa"/>
            <w:vAlign w:val="center"/>
          </w:tcPr>
          <w:p w14:paraId="45829ADD">
            <w:pPr>
              <w:spacing w:line="460" w:lineRule="exact"/>
              <w:rPr>
                <w:rFonts w:ascii="宋体" w:hAnsi="宋体"/>
                <w:color w:val="auto"/>
                <w:szCs w:val="21"/>
                <w:highlight w:val="none"/>
              </w:rPr>
            </w:pPr>
            <w:r>
              <w:rPr>
                <w:rFonts w:hint="eastAsia"/>
                <w:color w:val="auto"/>
                <w:highlight w:val="none"/>
              </w:rPr>
              <w:t>（1）</w:t>
            </w:r>
            <w:r>
              <w:rPr>
                <w:rFonts w:hint="eastAsia" w:ascii="宋体" w:hAnsi="宋体"/>
                <w:bCs/>
                <w:color w:val="auto"/>
                <w:szCs w:val="21"/>
                <w:highlight w:val="none"/>
              </w:rPr>
              <w:t>法定代表人身份证明及其有效身份证复印件（或法定代表授权委托书及其有效身份证复印件）</w:t>
            </w:r>
          </w:p>
        </w:tc>
        <w:tc>
          <w:tcPr>
            <w:tcW w:w="4261" w:type="dxa"/>
            <w:vAlign w:val="center"/>
          </w:tcPr>
          <w:p w14:paraId="6909D685">
            <w:pPr>
              <w:spacing w:line="460" w:lineRule="exact"/>
              <w:jc w:val="left"/>
              <w:rPr>
                <w:rFonts w:ascii="宋体" w:hAnsi="宋体"/>
                <w:color w:val="auto"/>
                <w:szCs w:val="21"/>
                <w:highlight w:val="none"/>
              </w:rPr>
            </w:pPr>
            <w:r>
              <w:rPr>
                <w:rFonts w:hint="eastAsia" w:ascii="宋体" w:hAnsi="宋体"/>
                <w:bCs/>
                <w:color w:val="auto"/>
                <w:szCs w:val="21"/>
                <w:highlight w:val="none"/>
              </w:rPr>
              <w:t>法定代表人身份证明及其有效身份证（或法定代表授权委托书及其有效身份证）（格式见附件）</w:t>
            </w:r>
          </w:p>
        </w:tc>
      </w:tr>
      <w:tr w14:paraId="34155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8" w:hRule="atLeast"/>
        </w:trPr>
        <w:tc>
          <w:tcPr>
            <w:tcW w:w="725" w:type="dxa"/>
            <w:vAlign w:val="center"/>
          </w:tcPr>
          <w:p w14:paraId="0C692850">
            <w:pPr>
              <w:spacing w:line="460" w:lineRule="exact"/>
              <w:jc w:val="center"/>
              <w:rPr>
                <w:rFonts w:ascii="宋体" w:hAnsi="宋体"/>
                <w:color w:val="auto"/>
                <w:szCs w:val="21"/>
                <w:highlight w:val="none"/>
              </w:rPr>
            </w:pPr>
            <w:r>
              <w:rPr>
                <w:rFonts w:hint="eastAsia" w:ascii="宋体" w:hAnsi="宋体"/>
                <w:color w:val="auto"/>
                <w:szCs w:val="21"/>
                <w:highlight w:val="none"/>
              </w:rPr>
              <w:t>2</w:t>
            </w:r>
          </w:p>
        </w:tc>
        <w:tc>
          <w:tcPr>
            <w:tcW w:w="1036" w:type="dxa"/>
            <w:vAlign w:val="center"/>
          </w:tcPr>
          <w:p w14:paraId="5207BE6B">
            <w:pPr>
              <w:spacing w:line="460" w:lineRule="exact"/>
              <w:rPr>
                <w:rFonts w:ascii="宋体" w:hAnsi="宋体"/>
                <w:color w:val="auto"/>
                <w:szCs w:val="21"/>
                <w:highlight w:val="none"/>
              </w:rPr>
            </w:pPr>
            <w:r>
              <w:rPr>
                <w:rFonts w:hint="eastAsia" w:ascii="宋体" w:hAnsi="宋体"/>
                <w:color w:val="auto"/>
                <w:szCs w:val="21"/>
                <w:highlight w:val="none"/>
              </w:rPr>
              <w:t>投标人应符合的基本资格条件</w:t>
            </w:r>
          </w:p>
        </w:tc>
        <w:tc>
          <w:tcPr>
            <w:tcW w:w="3084" w:type="dxa"/>
            <w:vAlign w:val="center"/>
          </w:tcPr>
          <w:p w14:paraId="05E53784">
            <w:pPr>
              <w:spacing w:line="460" w:lineRule="exact"/>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）具有独立承担民事责任的能力</w:t>
            </w:r>
          </w:p>
        </w:tc>
        <w:tc>
          <w:tcPr>
            <w:tcW w:w="4261" w:type="dxa"/>
            <w:vAlign w:val="center"/>
          </w:tcPr>
          <w:p w14:paraId="79740537">
            <w:pPr>
              <w:spacing w:line="460" w:lineRule="exact"/>
              <w:rPr>
                <w:rFonts w:ascii="宋体" w:hAnsi="宋体"/>
                <w:color w:val="auto"/>
                <w:szCs w:val="21"/>
                <w:highlight w:val="none"/>
              </w:rPr>
            </w:pPr>
            <w:r>
              <w:rPr>
                <w:rFonts w:hint="eastAsia" w:ascii="宋体"/>
                <w:b/>
                <w:color w:val="auto"/>
                <w:szCs w:val="21"/>
                <w:highlight w:val="none"/>
              </w:rPr>
              <w:t>评审核验标书中的下列证书、证明材料</w:t>
            </w:r>
            <w:r>
              <w:rPr>
                <w:rFonts w:hint="eastAsia" w:ascii="宋体"/>
                <w:bCs/>
                <w:color w:val="auto"/>
                <w:szCs w:val="21"/>
                <w:highlight w:val="none"/>
              </w:rPr>
              <w:t>（复印件加盖投标单位公章</w:t>
            </w:r>
            <w:r>
              <w:rPr>
                <w:rFonts w:hint="eastAsia" w:ascii="宋体"/>
                <w:b/>
                <w:color w:val="auto"/>
                <w:szCs w:val="21"/>
                <w:highlight w:val="none"/>
              </w:rPr>
              <w:t>）：</w:t>
            </w:r>
          </w:p>
          <w:p w14:paraId="1525086E">
            <w:pPr>
              <w:spacing w:line="460" w:lineRule="exact"/>
              <w:rPr>
                <w:rFonts w:ascii="宋体"/>
                <w:color w:val="auto"/>
                <w:szCs w:val="21"/>
                <w:highlight w:val="none"/>
              </w:rPr>
            </w:pPr>
            <w:r>
              <w:rPr>
                <w:rFonts w:hint="eastAsia" w:ascii="宋体" w:hAnsi="宋体"/>
                <w:bCs/>
                <w:color w:val="auto"/>
                <w:szCs w:val="21"/>
                <w:highlight w:val="none"/>
              </w:rPr>
              <w:t>投标人有效的营业执照</w:t>
            </w:r>
          </w:p>
        </w:tc>
      </w:tr>
      <w:tr w14:paraId="03C21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725" w:type="dxa"/>
            <w:vAlign w:val="center"/>
          </w:tcPr>
          <w:p w14:paraId="1B50C1B5">
            <w:pPr>
              <w:spacing w:line="460" w:lineRule="exact"/>
              <w:jc w:val="center"/>
              <w:rPr>
                <w:rFonts w:ascii="宋体" w:hAnsi="宋体"/>
                <w:color w:val="auto"/>
                <w:szCs w:val="21"/>
                <w:highlight w:val="none"/>
              </w:rPr>
            </w:pPr>
            <w:bookmarkStart w:id="67" w:name="_Toc3389"/>
            <w:bookmarkStart w:id="68" w:name="_Toc21525"/>
            <w:r>
              <w:rPr>
                <w:rFonts w:hint="eastAsia" w:ascii="宋体" w:hAnsi="宋体"/>
                <w:color w:val="auto"/>
                <w:szCs w:val="21"/>
                <w:highlight w:val="none"/>
              </w:rPr>
              <w:t>3</w:t>
            </w:r>
          </w:p>
        </w:tc>
        <w:tc>
          <w:tcPr>
            <w:tcW w:w="1036" w:type="dxa"/>
            <w:vAlign w:val="center"/>
          </w:tcPr>
          <w:p w14:paraId="7C2DA3F1">
            <w:pPr>
              <w:spacing w:line="460" w:lineRule="exact"/>
              <w:rPr>
                <w:rFonts w:ascii="宋体" w:hAnsi="宋体"/>
                <w:color w:val="auto"/>
                <w:szCs w:val="21"/>
                <w:highlight w:val="none"/>
              </w:rPr>
            </w:pPr>
            <w:r>
              <w:rPr>
                <w:rFonts w:hint="eastAsia" w:ascii="宋体" w:hAnsi="宋体" w:cs="仿宋_GB2312"/>
                <w:color w:val="auto"/>
                <w:sz w:val="24"/>
                <w:szCs w:val="24"/>
                <w:highlight w:val="none"/>
                <w:lang w:val="zh-CN"/>
              </w:rPr>
              <w:t>投标人必须符合的特定资格条件</w:t>
            </w:r>
          </w:p>
        </w:tc>
        <w:tc>
          <w:tcPr>
            <w:tcW w:w="3084" w:type="dxa"/>
            <w:vAlign w:val="center"/>
          </w:tcPr>
          <w:p w14:paraId="1BEAC739">
            <w:pPr>
              <w:spacing w:line="460" w:lineRule="exact"/>
              <w:rPr>
                <w:rFonts w:ascii="宋体" w:hAnsi="宋体" w:cs="Arial"/>
                <w:color w:val="auto"/>
                <w:szCs w:val="21"/>
                <w:highlight w:val="none"/>
              </w:rPr>
            </w:pPr>
            <w:r>
              <w:rPr>
                <w:rFonts w:hint="eastAsia" w:hAnsi="宋体" w:cs="宋体"/>
                <w:szCs w:val="21"/>
                <w:highlight w:val="none"/>
              </w:rPr>
              <w:t>（3）具备相应的资质</w:t>
            </w:r>
          </w:p>
        </w:tc>
        <w:tc>
          <w:tcPr>
            <w:tcW w:w="4261" w:type="dxa"/>
            <w:vAlign w:val="center"/>
          </w:tcPr>
          <w:p w14:paraId="2D550F0A">
            <w:pPr>
              <w:rPr>
                <w:rFonts w:ascii="宋体"/>
                <w:b/>
                <w:color w:val="auto"/>
                <w:szCs w:val="21"/>
                <w:highlight w:val="none"/>
              </w:rPr>
            </w:pPr>
            <w:r>
              <w:rPr>
                <w:rFonts w:hint="eastAsia" w:ascii="宋体"/>
                <w:b/>
                <w:color w:val="auto"/>
                <w:szCs w:val="21"/>
                <w:highlight w:val="none"/>
              </w:rPr>
              <w:t>评审核验标书中的下述文件（</w:t>
            </w:r>
            <w:r>
              <w:rPr>
                <w:rFonts w:hint="eastAsia" w:ascii="宋体" w:hAnsi="宋体" w:cs="宋体"/>
                <w:color w:val="auto"/>
                <w:szCs w:val="21"/>
                <w:highlight w:val="none"/>
              </w:rPr>
              <w:t>复印件加盖投标单位公章</w:t>
            </w:r>
            <w:r>
              <w:rPr>
                <w:rFonts w:hint="eastAsia" w:ascii="宋体"/>
                <w:b/>
                <w:color w:val="auto"/>
                <w:szCs w:val="21"/>
                <w:highlight w:val="none"/>
              </w:rPr>
              <w:t>）：</w:t>
            </w:r>
          </w:p>
          <w:p w14:paraId="05920E43">
            <w:pPr>
              <w:spacing w:line="460" w:lineRule="exact"/>
              <w:rPr>
                <w:rFonts w:ascii="宋体" w:hAnsi="宋体"/>
                <w:bCs/>
                <w:color w:val="auto"/>
                <w:szCs w:val="21"/>
                <w:highlight w:val="none"/>
              </w:rPr>
            </w:pPr>
            <w:r>
              <w:rPr>
                <w:rFonts w:hint="eastAsia" w:ascii="宋体" w:hAnsi="宋体" w:cs="宋体"/>
                <w:color w:val="auto"/>
                <w:szCs w:val="21"/>
                <w:highlight w:val="none"/>
              </w:rPr>
              <w:t>通过中国证券监督管理委员会备案的证明材料</w:t>
            </w:r>
          </w:p>
        </w:tc>
      </w:tr>
    </w:tbl>
    <w:p w14:paraId="0D2A49D2">
      <w:pPr>
        <w:spacing w:beforeLines="100" w:line="460" w:lineRule="exact"/>
        <w:ind w:firstLine="482" w:firstLineChars="200"/>
        <w:outlineLvl w:val="0"/>
        <w:rPr>
          <w:rFonts w:ascii="宋体" w:hAnsi="宋体"/>
          <w:b/>
          <w:color w:val="auto"/>
          <w:sz w:val="24"/>
          <w:szCs w:val="24"/>
          <w:highlight w:val="none"/>
        </w:rPr>
      </w:pPr>
      <w:r>
        <w:rPr>
          <w:rFonts w:hint="eastAsia" w:ascii="宋体" w:hAnsi="宋体"/>
          <w:b/>
          <w:color w:val="auto"/>
          <w:sz w:val="24"/>
          <w:szCs w:val="24"/>
          <w:highlight w:val="none"/>
        </w:rPr>
        <w:t>4.符合性审查</w:t>
      </w:r>
      <w:bookmarkEnd w:id="67"/>
      <w:bookmarkEnd w:id="68"/>
    </w:p>
    <w:p w14:paraId="02B03F45">
      <w:pPr>
        <w:spacing w:line="460" w:lineRule="exact"/>
        <w:ind w:firstLine="420" w:firstLineChars="200"/>
        <w:rPr>
          <w:rFonts w:ascii="宋体" w:hAnsi="宋体" w:cs="仿宋_GB2312"/>
          <w:color w:val="auto"/>
          <w:szCs w:val="21"/>
          <w:highlight w:val="none"/>
          <w:lang w:val="zh-CN"/>
        </w:rPr>
      </w:pPr>
      <w:r>
        <w:rPr>
          <w:rFonts w:hint="eastAsia" w:ascii="宋体" w:hAnsi="宋体" w:cs="仿宋_GB2312"/>
          <w:color w:val="auto"/>
          <w:szCs w:val="21"/>
          <w:highlight w:val="none"/>
          <w:lang w:val="zh-CN"/>
        </w:rPr>
        <w:t>4</w:t>
      </w:r>
      <w:r>
        <w:rPr>
          <w:rFonts w:hint="eastAsia" w:ascii="宋体" w:hAnsi="宋体" w:cs="仿宋_GB2312"/>
          <w:color w:val="auto"/>
          <w:szCs w:val="21"/>
          <w:highlight w:val="none"/>
        </w:rPr>
        <w:t>.</w:t>
      </w:r>
      <w:r>
        <w:rPr>
          <w:rFonts w:hint="eastAsia" w:ascii="宋体" w:hAnsi="宋体" w:cs="仿宋_GB2312"/>
          <w:color w:val="auto"/>
          <w:szCs w:val="21"/>
          <w:highlight w:val="none"/>
          <w:lang w:val="zh-CN"/>
        </w:rPr>
        <w:t>1评审细则</w:t>
      </w:r>
    </w:p>
    <w:tbl>
      <w:tblPr>
        <w:tblStyle w:val="26"/>
        <w:tblW w:w="9005"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770"/>
        <w:gridCol w:w="2641"/>
        <w:gridCol w:w="4935"/>
      </w:tblGrid>
      <w:tr w14:paraId="5AA3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59" w:type="dxa"/>
            <w:vAlign w:val="center"/>
          </w:tcPr>
          <w:p w14:paraId="359D9C97">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3411" w:type="dxa"/>
            <w:gridSpan w:val="2"/>
            <w:vAlign w:val="center"/>
          </w:tcPr>
          <w:p w14:paraId="4D2F25BC">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审查因素</w:t>
            </w:r>
          </w:p>
        </w:tc>
        <w:tc>
          <w:tcPr>
            <w:tcW w:w="4935" w:type="dxa"/>
            <w:vAlign w:val="center"/>
          </w:tcPr>
          <w:p w14:paraId="1E291C61">
            <w:pPr>
              <w:spacing w:line="460" w:lineRule="exact"/>
              <w:jc w:val="center"/>
              <w:rPr>
                <w:rFonts w:ascii="宋体" w:hAnsi="宋体" w:cs="宋体"/>
                <w:color w:val="auto"/>
                <w:szCs w:val="21"/>
                <w:highlight w:val="none"/>
              </w:rPr>
            </w:pPr>
            <w:r>
              <w:rPr>
                <w:rFonts w:hint="eastAsia" w:ascii="宋体" w:hAnsi="宋体" w:cs="宋体"/>
                <w:color w:val="auto"/>
                <w:szCs w:val="21"/>
                <w:highlight w:val="none"/>
              </w:rPr>
              <w:t>审查内容</w:t>
            </w:r>
          </w:p>
        </w:tc>
      </w:tr>
      <w:tr w14:paraId="4BF69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rPr>
        <w:tc>
          <w:tcPr>
            <w:tcW w:w="659" w:type="dxa"/>
            <w:vMerge w:val="restart"/>
            <w:vAlign w:val="center"/>
          </w:tcPr>
          <w:p w14:paraId="3F9176C6">
            <w:pPr>
              <w:spacing w:line="460" w:lineRule="exact"/>
              <w:jc w:val="center"/>
              <w:rPr>
                <w:rFonts w:ascii="宋体" w:hAnsi="宋体"/>
                <w:color w:val="auto"/>
                <w:szCs w:val="21"/>
                <w:highlight w:val="none"/>
              </w:rPr>
            </w:pPr>
            <w:r>
              <w:rPr>
                <w:rFonts w:hint="eastAsia" w:ascii="宋体" w:hAnsi="宋体"/>
                <w:color w:val="auto"/>
                <w:szCs w:val="21"/>
                <w:highlight w:val="none"/>
              </w:rPr>
              <w:t>1</w:t>
            </w:r>
          </w:p>
        </w:tc>
        <w:tc>
          <w:tcPr>
            <w:tcW w:w="770" w:type="dxa"/>
            <w:vMerge w:val="restart"/>
            <w:tcBorders>
              <w:top w:val="single" w:color="auto" w:sz="4" w:space="0"/>
            </w:tcBorders>
            <w:vAlign w:val="center"/>
          </w:tcPr>
          <w:p w14:paraId="3E343B1C">
            <w:pPr>
              <w:spacing w:line="460" w:lineRule="exact"/>
              <w:rPr>
                <w:rFonts w:ascii="宋体" w:hAnsi="宋体" w:cs="仿宋_GB2312"/>
                <w:color w:val="auto"/>
                <w:szCs w:val="21"/>
                <w:highlight w:val="none"/>
                <w:lang w:val="zh-CN"/>
              </w:rPr>
            </w:pPr>
            <w:r>
              <w:rPr>
                <w:rFonts w:hint="eastAsia" w:ascii="宋体" w:hAnsi="宋体" w:cs="仿宋_GB2312"/>
                <w:color w:val="auto"/>
                <w:szCs w:val="21"/>
                <w:highlight w:val="none"/>
                <w:lang w:val="zh-CN"/>
              </w:rPr>
              <w:t>标书的有效 性</w:t>
            </w:r>
          </w:p>
        </w:tc>
        <w:tc>
          <w:tcPr>
            <w:tcW w:w="2641" w:type="dxa"/>
            <w:tcBorders>
              <w:top w:val="single" w:color="auto" w:sz="4" w:space="0"/>
            </w:tcBorders>
            <w:vAlign w:val="center"/>
          </w:tcPr>
          <w:p w14:paraId="232EE997">
            <w:pPr>
              <w:spacing w:line="460" w:lineRule="exact"/>
              <w:rPr>
                <w:rFonts w:ascii="宋体" w:hAnsi="宋体" w:cs="仿宋_GB2312"/>
                <w:color w:val="auto"/>
                <w:szCs w:val="21"/>
                <w:highlight w:val="none"/>
                <w:lang w:val="zh-CN"/>
              </w:rPr>
            </w:pPr>
            <w:r>
              <w:rPr>
                <w:rFonts w:hint="eastAsia" w:ascii="宋体" w:hAnsi="宋体" w:cs="仿宋_GB2312"/>
                <w:color w:val="auto"/>
                <w:szCs w:val="21"/>
                <w:highlight w:val="none"/>
                <w:lang w:val="zh-CN"/>
              </w:rPr>
              <w:t>（1）投标文件签署</w:t>
            </w:r>
          </w:p>
        </w:tc>
        <w:tc>
          <w:tcPr>
            <w:tcW w:w="4935" w:type="dxa"/>
            <w:vAlign w:val="center"/>
          </w:tcPr>
          <w:p w14:paraId="63EF2E69">
            <w:pPr>
              <w:spacing w:line="460" w:lineRule="exact"/>
              <w:rPr>
                <w:rFonts w:ascii="宋体" w:hAnsi="宋体" w:cs="仿宋_GB2312"/>
                <w:color w:val="auto"/>
                <w:szCs w:val="21"/>
                <w:highlight w:val="none"/>
                <w:lang w:val="zh-CN"/>
              </w:rPr>
            </w:pPr>
            <w:r>
              <w:rPr>
                <w:rFonts w:hint="eastAsia" w:ascii="宋体" w:hAnsi="宋体" w:cs="仿宋_GB2312"/>
                <w:color w:val="auto"/>
                <w:szCs w:val="21"/>
                <w:highlight w:val="none"/>
                <w:lang w:val="zh-CN"/>
              </w:rPr>
              <w:t>签字、盖章符合要求。</w:t>
            </w:r>
          </w:p>
        </w:tc>
      </w:tr>
      <w:tr w14:paraId="5A528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rPr>
        <w:tc>
          <w:tcPr>
            <w:tcW w:w="659" w:type="dxa"/>
            <w:vMerge w:val="continue"/>
            <w:vAlign w:val="center"/>
          </w:tcPr>
          <w:p w14:paraId="44C3C160">
            <w:pPr>
              <w:spacing w:line="460" w:lineRule="exact"/>
              <w:jc w:val="center"/>
              <w:rPr>
                <w:rFonts w:ascii="宋体" w:hAnsi="宋体"/>
                <w:color w:val="auto"/>
                <w:szCs w:val="21"/>
                <w:highlight w:val="none"/>
              </w:rPr>
            </w:pPr>
          </w:p>
        </w:tc>
        <w:tc>
          <w:tcPr>
            <w:tcW w:w="770" w:type="dxa"/>
            <w:vMerge w:val="continue"/>
            <w:vAlign w:val="center"/>
          </w:tcPr>
          <w:p w14:paraId="6AAE2B60">
            <w:pPr>
              <w:spacing w:line="460" w:lineRule="exact"/>
              <w:rPr>
                <w:rFonts w:ascii="宋体" w:hAnsi="宋体" w:cs="仿宋_GB2312"/>
                <w:color w:val="auto"/>
                <w:szCs w:val="21"/>
                <w:highlight w:val="none"/>
                <w:lang w:val="zh-CN"/>
              </w:rPr>
            </w:pPr>
          </w:p>
        </w:tc>
        <w:tc>
          <w:tcPr>
            <w:tcW w:w="2641" w:type="dxa"/>
            <w:tcBorders>
              <w:top w:val="nil"/>
              <w:bottom w:val="single" w:color="auto" w:sz="4" w:space="0"/>
            </w:tcBorders>
            <w:vAlign w:val="center"/>
          </w:tcPr>
          <w:p w14:paraId="5BF42222">
            <w:pPr>
              <w:spacing w:line="460" w:lineRule="exact"/>
              <w:rPr>
                <w:rFonts w:ascii="宋体" w:hAnsi="宋体" w:cs="仿宋_GB2312"/>
                <w:color w:val="auto"/>
                <w:szCs w:val="21"/>
                <w:highlight w:val="none"/>
                <w:lang w:val="zh-CN"/>
              </w:rPr>
            </w:pPr>
            <w:r>
              <w:rPr>
                <w:rFonts w:hint="eastAsia" w:ascii="宋体" w:hAnsi="宋体" w:cs="仿宋_GB2312"/>
                <w:color w:val="auto"/>
                <w:szCs w:val="21"/>
                <w:highlight w:val="none"/>
                <w:lang w:val="zh-CN"/>
              </w:rPr>
              <w:t>（2）投标方案</w:t>
            </w:r>
          </w:p>
        </w:tc>
        <w:tc>
          <w:tcPr>
            <w:tcW w:w="4935" w:type="dxa"/>
            <w:vAlign w:val="center"/>
          </w:tcPr>
          <w:p w14:paraId="34AFCF73">
            <w:pPr>
              <w:spacing w:line="460" w:lineRule="exact"/>
              <w:rPr>
                <w:rFonts w:ascii="宋体" w:hAnsi="宋体" w:cs="宋体"/>
                <w:color w:val="auto"/>
                <w:szCs w:val="21"/>
                <w:highlight w:val="none"/>
              </w:rPr>
            </w:pPr>
            <w:r>
              <w:rPr>
                <w:rFonts w:hint="eastAsia" w:ascii="宋体" w:hAnsi="宋体" w:cs="仿宋_GB2312"/>
                <w:color w:val="auto"/>
                <w:szCs w:val="21"/>
                <w:highlight w:val="none"/>
                <w:lang w:val="zh-CN"/>
              </w:rPr>
              <w:t>只能有一个方案投标。</w:t>
            </w:r>
          </w:p>
        </w:tc>
      </w:tr>
      <w:tr w14:paraId="0F1D5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rPr>
        <w:tc>
          <w:tcPr>
            <w:tcW w:w="659" w:type="dxa"/>
            <w:vMerge w:val="continue"/>
            <w:vAlign w:val="center"/>
          </w:tcPr>
          <w:p w14:paraId="2649C0A7">
            <w:pPr>
              <w:spacing w:line="460" w:lineRule="exact"/>
              <w:jc w:val="center"/>
              <w:rPr>
                <w:rFonts w:ascii="宋体" w:hAnsi="宋体"/>
                <w:color w:val="auto"/>
                <w:szCs w:val="21"/>
                <w:highlight w:val="none"/>
              </w:rPr>
            </w:pPr>
          </w:p>
        </w:tc>
        <w:tc>
          <w:tcPr>
            <w:tcW w:w="770" w:type="dxa"/>
            <w:vMerge w:val="continue"/>
            <w:vAlign w:val="center"/>
          </w:tcPr>
          <w:p w14:paraId="799CD5CF">
            <w:pPr>
              <w:spacing w:line="460" w:lineRule="exact"/>
              <w:rPr>
                <w:rFonts w:ascii="宋体" w:hAnsi="宋体" w:cs="仿宋_GB2312"/>
                <w:color w:val="auto"/>
                <w:szCs w:val="21"/>
                <w:highlight w:val="none"/>
                <w:lang w:val="zh-CN"/>
              </w:rPr>
            </w:pPr>
          </w:p>
        </w:tc>
        <w:tc>
          <w:tcPr>
            <w:tcW w:w="2641" w:type="dxa"/>
            <w:tcBorders>
              <w:top w:val="nil"/>
              <w:bottom w:val="single" w:color="auto" w:sz="4" w:space="0"/>
            </w:tcBorders>
            <w:vAlign w:val="center"/>
          </w:tcPr>
          <w:p w14:paraId="4797E305">
            <w:pPr>
              <w:spacing w:line="460" w:lineRule="exact"/>
              <w:rPr>
                <w:rFonts w:ascii="宋体" w:hAnsi="宋体" w:cs="仿宋_GB2312"/>
                <w:color w:val="auto"/>
                <w:szCs w:val="21"/>
                <w:highlight w:val="none"/>
                <w:lang w:val="zh-CN"/>
              </w:rPr>
            </w:pPr>
            <w:r>
              <w:rPr>
                <w:rFonts w:hint="eastAsia" w:ascii="宋体" w:hAnsi="宋体"/>
                <w:color w:val="auto"/>
                <w:szCs w:val="21"/>
                <w:highlight w:val="none"/>
              </w:rPr>
              <w:t>（3）报价唯一</w:t>
            </w:r>
          </w:p>
        </w:tc>
        <w:tc>
          <w:tcPr>
            <w:tcW w:w="4935" w:type="dxa"/>
            <w:vAlign w:val="center"/>
          </w:tcPr>
          <w:p w14:paraId="55089CCB">
            <w:pPr>
              <w:spacing w:line="460" w:lineRule="exact"/>
              <w:rPr>
                <w:rFonts w:ascii="宋体" w:hAnsi="宋体" w:cs="宋体"/>
                <w:color w:val="auto"/>
                <w:szCs w:val="21"/>
                <w:highlight w:val="none"/>
              </w:rPr>
            </w:pPr>
            <w:r>
              <w:rPr>
                <w:rFonts w:hint="eastAsia" w:ascii="宋体" w:hAnsi="宋体" w:cs="仿宋_GB2312"/>
                <w:color w:val="auto"/>
                <w:szCs w:val="21"/>
                <w:highlight w:val="none"/>
                <w:lang w:val="zh-CN"/>
              </w:rPr>
              <w:t>只能在限价范围内报价，</w:t>
            </w:r>
            <w:r>
              <w:rPr>
                <w:rFonts w:hint="eastAsia" w:ascii="宋体" w:hAnsi="宋体"/>
                <w:color w:val="auto"/>
                <w:szCs w:val="21"/>
                <w:highlight w:val="none"/>
              </w:rPr>
              <w:t>只能有一个有效报价，不得提交选择性报价。</w:t>
            </w:r>
          </w:p>
        </w:tc>
      </w:tr>
      <w:tr w14:paraId="7645A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rPr>
        <w:tc>
          <w:tcPr>
            <w:tcW w:w="659" w:type="dxa"/>
            <w:vMerge w:val="continue"/>
            <w:vAlign w:val="center"/>
          </w:tcPr>
          <w:p w14:paraId="79042E0F">
            <w:pPr>
              <w:spacing w:line="460" w:lineRule="exact"/>
              <w:jc w:val="center"/>
              <w:rPr>
                <w:rFonts w:ascii="宋体" w:hAnsi="宋体"/>
                <w:color w:val="auto"/>
                <w:szCs w:val="21"/>
                <w:highlight w:val="none"/>
              </w:rPr>
            </w:pPr>
          </w:p>
        </w:tc>
        <w:tc>
          <w:tcPr>
            <w:tcW w:w="770" w:type="dxa"/>
            <w:vMerge w:val="continue"/>
            <w:vAlign w:val="center"/>
          </w:tcPr>
          <w:p w14:paraId="7D96BCD3">
            <w:pPr>
              <w:spacing w:line="460" w:lineRule="exact"/>
              <w:rPr>
                <w:rFonts w:ascii="宋体" w:hAnsi="宋体" w:cs="仿宋_GB2312"/>
                <w:color w:val="auto"/>
                <w:szCs w:val="21"/>
                <w:highlight w:val="none"/>
                <w:lang w:val="zh-CN"/>
              </w:rPr>
            </w:pPr>
          </w:p>
        </w:tc>
        <w:tc>
          <w:tcPr>
            <w:tcW w:w="2641" w:type="dxa"/>
            <w:tcBorders>
              <w:top w:val="nil"/>
              <w:bottom w:val="single" w:color="auto" w:sz="4" w:space="0"/>
            </w:tcBorders>
            <w:vAlign w:val="center"/>
          </w:tcPr>
          <w:p w14:paraId="5982719B">
            <w:pPr>
              <w:spacing w:line="460" w:lineRule="exact"/>
              <w:rPr>
                <w:rFonts w:ascii="宋体" w:hAnsi="宋体"/>
                <w:color w:val="auto"/>
                <w:szCs w:val="21"/>
                <w:highlight w:val="none"/>
              </w:rPr>
            </w:pPr>
            <w:r>
              <w:rPr>
                <w:rFonts w:hint="eastAsia" w:ascii="宋体" w:hAnsi="宋体"/>
                <w:color w:val="auto"/>
                <w:szCs w:val="21"/>
                <w:highlight w:val="none"/>
              </w:rPr>
              <w:t xml:space="preserve"> (4) 投标文件的有效期</w:t>
            </w:r>
          </w:p>
        </w:tc>
        <w:tc>
          <w:tcPr>
            <w:tcW w:w="4935" w:type="dxa"/>
            <w:vAlign w:val="center"/>
          </w:tcPr>
          <w:p w14:paraId="58A1D03A">
            <w:pPr>
              <w:spacing w:line="460" w:lineRule="exact"/>
              <w:rPr>
                <w:rFonts w:ascii="宋体" w:hAnsi="宋体" w:cs="仿宋_GB2312"/>
                <w:color w:val="auto"/>
                <w:szCs w:val="21"/>
                <w:highlight w:val="none"/>
                <w:lang w:val="zh-CN"/>
              </w:rPr>
            </w:pPr>
            <w:r>
              <w:rPr>
                <w:rFonts w:hint="eastAsia" w:ascii="宋体" w:hAnsi="宋体" w:cs="仿宋_GB2312"/>
                <w:color w:val="auto"/>
                <w:szCs w:val="21"/>
                <w:highlight w:val="none"/>
                <w:lang w:val="zh-CN"/>
              </w:rPr>
              <w:t>完全响应。</w:t>
            </w:r>
          </w:p>
        </w:tc>
      </w:tr>
      <w:tr w14:paraId="44353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trPr>
        <w:tc>
          <w:tcPr>
            <w:tcW w:w="659" w:type="dxa"/>
            <w:vMerge w:val="restart"/>
            <w:vAlign w:val="center"/>
          </w:tcPr>
          <w:p w14:paraId="6DB74D8A">
            <w:pPr>
              <w:spacing w:line="460" w:lineRule="exact"/>
              <w:jc w:val="center"/>
              <w:rPr>
                <w:rFonts w:ascii="宋体" w:hAnsi="宋体"/>
                <w:color w:val="auto"/>
                <w:szCs w:val="21"/>
                <w:highlight w:val="none"/>
              </w:rPr>
            </w:pPr>
            <w:r>
              <w:rPr>
                <w:rFonts w:hint="eastAsia" w:ascii="宋体" w:hAnsi="宋体"/>
                <w:color w:val="auto"/>
                <w:szCs w:val="21"/>
                <w:highlight w:val="none"/>
              </w:rPr>
              <w:t>2</w:t>
            </w:r>
          </w:p>
        </w:tc>
        <w:tc>
          <w:tcPr>
            <w:tcW w:w="770" w:type="dxa"/>
            <w:vMerge w:val="restart"/>
            <w:vAlign w:val="center"/>
          </w:tcPr>
          <w:p w14:paraId="600C525F">
            <w:pPr>
              <w:spacing w:line="460" w:lineRule="exact"/>
              <w:rPr>
                <w:rFonts w:ascii="宋体" w:hAnsi="宋体" w:cs="仿宋_GB2312"/>
                <w:color w:val="auto"/>
                <w:szCs w:val="21"/>
                <w:highlight w:val="none"/>
                <w:lang w:val="zh-CN"/>
              </w:rPr>
            </w:pPr>
            <w:r>
              <w:rPr>
                <w:rFonts w:hint="eastAsia" w:ascii="宋体" w:hAnsi="宋体" w:cs="仿宋_GB2312"/>
                <w:color w:val="auto"/>
                <w:szCs w:val="21"/>
                <w:highlight w:val="none"/>
                <w:lang w:val="zh-CN"/>
              </w:rPr>
              <w:t>标书的完整 性</w:t>
            </w:r>
          </w:p>
        </w:tc>
        <w:tc>
          <w:tcPr>
            <w:tcW w:w="2641" w:type="dxa"/>
            <w:vAlign w:val="center"/>
          </w:tcPr>
          <w:p w14:paraId="6F013712">
            <w:pPr>
              <w:spacing w:line="460" w:lineRule="exact"/>
              <w:rPr>
                <w:rFonts w:ascii="宋体" w:hAnsi="宋体" w:cs="宋体"/>
                <w:color w:val="auto"/>
                <w:szCs w:val="21"/>
                <w:highlight w:val="none"/>
              </w:rPr>
            </w:pPr>
            <w:r>
              <w:rPr>
                <w:rFonts w:hint="eastAsia" w:ascii="宋体" w:hAnsi="宋体" w:cs="仿宋_GB2312"/>
                <w:color w:val="auto"/>
                <w:szCs w:val="21"/>
                <w:highlight w:val="none"/>
                <w:lang w:val="zh-CN"/>
              </w:rPr>
              <w:t>（5）投标文件份数</w:t>
            </w:r>
          </w:p>
        </w:tc>
        <w:tc>
          <w:tcPr>
            <w:tcW w:w="4935" w:type="dxa"/>
            <w:vAlign w:val="center"/>
          </w:tcPr>
          <w:p w14:paraId="0831ED83">
            <w:pPr>
              <w:spacing w:line="460" w:lineRule="exact"/>
              <w:rPr>
                <w:rFonts w:ascii="宋体" w:hAnsi="宋体" w:cs="宋体"/>
                <w:color w:val="auto"/>
                <w:szCs w:val="21"/>
                <w:highlight w:val="none"/>
              </w:rPr>
            </w:pPr>
            <w:r>
              <w:rPr>
                <w:rFonts w:hint="eastAsia" w:ascii="宋体" w:hAnsi="宋体" w:cs="仿宋_GB2312"/>
                <w:color w:val="auto"/>
                <w:szCs w:val="21"/>
                <w:highlight w:val="none"/>
                <w:lang w:val="zh-CN"/>
              </w:rPr>
              <w:t>投标文件正本、副本数量符合招标文件要求。</w:t>
            </w:r>
          </w:p>
        </w:tc>
      </w:tr>
      <w:tr w14:paraId="720A5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rPr>
        <w:tc>
          <w:tcPr>
            <w:tcW w:w="659" w:type="dxa"/>
            <w:vMerge w:val="continue"/>
            <w:vAlign w:val="center"/>
          </w:tcPr>
          <w:p w14:paraId="2572A052">
            <w:pPr>
              <w:spacing w:line="460" w:lineRule="exact"/>
              <w:jc w:val="center"/>
              <w:rPr>
                <w:rFonts w:ascii="宋体" w:hAnsi="宋体"/>
                <w:color w:val="auto"/>
                <w:szCs w:val="21"/>
                <w:highlight w:val="none"/>
              </w:rPr>
            </w:pPr>
          </w:p>
        </w:tc>
        <w:tc>
          <w:tcPr>
            <w:tcW w:w="770" w:type="dxa"/>
            <w:vMerge w:val="continue"/>
            <w:vAlign w:val="center"/>
          </w:tcPr>
          <w:p w14:paraId="7762395C">
            <w:pPr>
              <w:spacing w:line="460" w:lineRule="exact"/>
              <w:rPr>
                <w:rFonts w:ascii="宋体" w:hAnsi="宋体" w:cs="仿宋_GB2312"/>
                <w:color w:val="auto"/>
                <w:szCs w:val="21"/>
                <w:highlight w:val="none"/>
                <w:lang w:val="zh-CN"/>
              </w:rPr>
            </w:pPr>
          </w:p>
        </w:tc>
        <w:tc>
          <w:tcPr>
            <w:tcW w:w="2641" w:type="dxa"/>
            <w:vAlign w:val="center"/>
          </w:tcPr>
          <w:p w14:paraId="5A69E93F">
            <w:pPr>
              <w:spacing w:line="460" w:lineRule="exact"/>
              <w:rPr>
                <w:rFonts w:ascii="宋体" w:hAnsi="宋体" w:cs="仿宋_GB2312"/>
                <w:color w:val="auto"/>
                <w:szCs w:val="21"/>
                <w:highlight w:val="none"/>
                <w:lang w:val="zh-CN"/>
              </w:rPr>
            </w:pPr>
            <w:r>
              <w:rPr>
                <w:rFonts w:hint="eastAsia" w:ascii="宋体" w:hAnsi="宋体" w:cs="仿宋_GB2312"/>
                <w:color w:val="auto"/>
                <w:szCs w:val="21"/>
                <w:highlight w:val="none"/>
                <w:lang w:val="zh-CN"/>
              </w:rPr>
              <w:t>（6）投标文件形式内容</w:t>
            </w:r>
          </w:p>
        </w:tc>
        <w:tc>
          <w:tcPr>
            <w:tcW w:w="4935" w:type="dxa"/>
            <w:vAlign w:val="center"/>
          </w:tcPr>
          <w:p w14:paraId="35F0D1CB">
            <w:pPr>
              <w:spacing w:line="460" w:lineRule="exact"/>
              <w:rPr>
                <w:rFonts w:ascii="宋体" w:hAnsi="宋体" w:cs="仿宋_GB2312"/>
                <w:color w:val="auto"/>
                <w:szCs w:val="21"/>
                <w:highlight w:val="none"/>
                <w:lang w:val="zh-CN"/>
              </w:rPr>
            </w:pPr>
            <w:r>
              <w:rPr>
                <w:rFonts w:hint="eastAsia" w:ascii="宋体" w:hAnsi="宋体" w:cs="仿宋_GB2312"/>
                <w:color w:val="auto"/>
                <w:szCs w:val="21"/>
                <w:highlight w:val="none"/>
                <w:lang w:val="zh-CN"/>
              </w:rPr>
              <w:t>投标文件内容清晰、齐全无遗漏。</w:t>
            </w:r>
          </w:p>
        </w:tc>
      </w:tr>
      <w:tr w14:paraId="2F7D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59" w:type="dxa"/>
            <w:vMerge w:val="continue"/>
            <w:vAlign w:val="center"/>
          </w:tcPr>
          <w:p w14:paraId="26EC9D77">
            <w:pPr>
              <w:spacing w:line="460" w:lineRule="exact"/>
              <w:jc w:val="center"/>
              <w:rPr>
                <w:rFonts w:ascii="宋体" w:hAnsi="宋体"/>
                <w:color w:val="auto"/>
                <w:szCs w:val="21"/>
                <w:highlight w:val="none"/>
              </w:rPr>
            </w:pPr>
          </w:p>
        </w:tc>
        <w:tc>
          <w:tcPr>
            <w:tcW w:w="770" w:type="dxa"/>
            <w:vMerge w:val="continue"/>
            <w:vAlign w:val="center"/>
          </w:tcPr>
          <w:p w14:paraId="10736DC6">
            <w:pPr>
              <w:spacing w:line="460" w:lineRule="exact"/>
              <w:rPr>
                <w:rFonts w:ascii="宋体" w:hAnsi="宋体" w:cs="仿宋_GB2312"/>
                <w:color w:val="auto"/>
                <w:szCs w:val="21"/>
                <w:highlight w:val="none"/>
                <w:lang w:val="zh-CN"/>
              </w:rPr>
            </w:pPr>
          </w:p>
        </w:tc>
        <w:tc>
          <w:tcPr>
            <w:tcW w:w="2641" w:type="dxa"/>
            <w:tcBorders>
              <w:top w:val="single" w:color="auto" w:sz="4" w:space="0"/>
            </w:tcBorders>
            <w:vAlign w:val="center"/>
          </w:tcPr>
          <w:p w14:paraId="37BC605C">
            <w:pPr>
              <w:spacing w:line="460" w:lineRule="exact"/>
              <w:rPr>
                <w:rFonts w:ascii="宋体" w:hAnsi="宋体" w:cs="仿宋_GB2312"/>
                <w:color w:val="auto"/>
                <w:szCs w:val="21"/>
                <w:highlight w:val="none"/>
                <w:lang w:val="zh-CN"/>
              </w:rPr>
            </w:pPr>
            <w:r>
              <w:rPr>
                <w:rFonts w:hint="eastAsia" w:ascii="宋体" w:hAnsi="宋体" w:cs="仿宋_GB2312"/>
                <w:color w:val="auto"/>
                <w:szCs w:val="21"/>
                <w:highlight w:val="none"/>
                <w:lang w:val="zh-CN"/>
              </w:rPr>
              <w:t>（7）条款响应程度（包括但不限于业绩、服务期、售后服务等）</w:t>
            </w:r>
          </w:p>
        </w:tc>
        <w:tc>
          <w:tcPr>
            <w:tcW w:w="4935" w:type="dxa"/>
            <w:vAlign w:val="center"/>
          </w:tcPr>
          <w:p w14:paraId="5FAC3EF9">
            <w:pPr>
              <w:spacing w:line="460" w:lineRule="exact"/>
              <w:rPr>
                <w:rFonts w:ascii="宋体" w:hAnsi="宋体" w:cs="仿宋_GB2312"/>
                <w:color w:val="auto"/>
                <w:szCs w:val="21"/>
                <w:highlight w:val="none"/>
                <w:lang w:val="zh-CN"/>
              </w:rPr>
            </w:pPr>
            <w:r>
              <w:rPr>
                <w:rFonts w:hint="eastAsia" w:ascii="宋体" w:hAnsi="宋体" w:cs="仿宋_GB2312"/>
                <w:color w:val="auto"/>
                <w:szCs w:val="21"/>
                <w:highlight w:val="none"/>
                <w:lang w:val="zh-CN"/>
              </w:rPr>
              <w:t>响应招标文件要求。</w:t>
            </w:r>
          </w:p>
        </w:tc>
      </w:tr>
    </w:tbl>
    <w:p w14:paraId="38527231">
      <w:pPr>
        <w:spacing w:line="460" w:lineRule="exact"/>
        <w:ind w:firstLine="506" w:firstLineChars="241"/>
        <w:rPr>
          <w:rFonts w:ascii="宋体" w:hAnsi="宋体"/>
          <w:color w:val="auto"/>
          <w:szCs w:val="21"/>
          <w:highlight w:val="none"/>
        </w:rPr>
      </w:pPr>
      <w:r>
        <w:rPr>
          <w:rFonts w:hint="eastAsia" w:ascii="宋体" w:hAnsi="宋体"/>
          <w:color w:val="auto"/>
          <w:szCs w:val="21"/>
          <w:highlight w:val="none"/>
        </w:rPr>
        <w:t>4.2资格审查及评分细则中涉及的有关证明材料及相关证书，须在投标文件中体现，以供审查。</w:t>
      </w:r>
    </w:p>
    <w:p w14:paraId="27D8E233">
      <w:pPr>
        <w:spacing w:line="460" w:lineRule="exact"/>
        <w:ind w:firstLine="506" w:firstLineChars="241"/>
        <w:rPr>
          <w:rFonts w:ascii="宋体" w:hAnsi="宋体"/>
          <w:color w:val="auto"/>
          <w:szCs w:val="21"/>
          <w:highlight w:val="none"/>
        </w:rPr>
      </w:pPr>
      <w:r>
        <w:rPr>
          <w:rFonts w:hint="eastAsia" w:ascii="宋体" w:hAnsi="宋体"/>
          <w:color w:val="auto"/>
          <w:szCs w:val="21"/>
          <w:highlight w:val="none"/>
        </w:rPr>
        <w:t>4.3．评委会判定投标文件的响应性只根据投标文件本身的内容，而不寻求外部的     证据，但投标有不真实不正确的内容时除外。</w:t>
      </w:r>
    </w:p>
    <w:p w14:paraId="619961F2">
      <w:pPr>
        <w:spacing w:line="460" w:lineRule="exact"/>
        <w:ind w:firstLine="506" w:firstLineChars="241"/>
        <w:rPr>
          <w:rFonts w:ascii="宋体" w:hAnsi="宋体"/>
          <w:color w:val="auto"/>
          <w:szCs w:val="21"/>
          <w:highlight w:val="none"/>
        </w:rPr>
      </w:pPr>
      <w:r>
        <w:rPr>
          <w:rFonts w:hint="eastAsia" w:ascii="宋体" w:hAnsi="宋体"/>
          <w:color w:val="auto"/>
          <w:szCs w:val="21"/>
          <w:highlight w:val="none"/>
        </w:rPr>
        <w:t>4.4如果投标文件实质上没有响应招标文件的要求，评委会将予以拒绝，投标人不得通过修正或撤销不符合要求的偏离或保留，而使其投标成为实质上响应的投标。</w:t>
      </w:r>
    </w:p>
    <w:p w14:paraId="5B4D6E3A">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 4.5只有通过初审的投标人才能进入下一步评标程序。</w:t>
      </w:r>
    </w:p>
    <w:p w14:paraId="22F39EBF">
      <w:pPr>
        <w:spacing w:beforeLines="50" w:afterLines="50" w:line="360" w:lineRule="auto"/>
        <w:jc w:val="center"/>
        <w:outlineLvl w:val="0"/>
        <w:rPr>
          <w:rFonts w:ascii="宋体" w:hAnsi="宋体"/>
          <w:b/>
          <w:color w:val="auto"/>
          <w:sz w:val="28"/>
          <w:szCs w:val="28"/>
          <w:highlight w:val="none"/>
        </w:rPr>
      </w:pPr>
      <w:bookmarkStart w:id="69" w:name="_Toc16291"/>
      <w:bookmarkStart w:id="70" w:name="_Toc14663"/>
      <w:r>
        <w:rPr>
          <w:rFonts w:hint="eastAsia" w:ascii="宋体" w:hAnsi="宋体"/>
          <w:b/>
          <w:color w:val="auto"/>
          <w:sz w:val="28"/>
          <w:szCs w:val="28"/>
          <w:highlight w:val="none"/>
        </w:rPr>
        <w:t>三  详细评审投标文件的澄清和补正</w:t>
      </w:r>
      <w:bookmarkEnd w:id="69"/>
      <w:bookmarkEnd w:id="70"/>
    </w:p>
    <w:p w14:paraId="6C10865D">
      <w:pPr>
        <w:spacing w:line="460" w:lineRule="exact"/>
        <w:ind w:firstLine="525" w:firstLineChars="250"/>
        <w:rPr>
          <w:rFonts w:ascii="宋体" w:hAnsi="宋体"/>
          <w:color w:val="auto"/>
          <w:szCs w:val="21"/>
          <w:highlight w:val="none"/>
        </w:rPr>
      </w:pPr>
      <w:r>
        <w:rPr>
          <w:rFonts w:hint="eastAsia" w:ascii="宋体" w:hAnsi="宋体"/>
          <w:color w:val="auto"/>
          <w:szCs w:val="21"/>
          <w:highlight w:val="none"/>
        </w:rPr>
        <w:t>5.1评审</w:t>
      </w:r>
      <w:r>
        <w:rPr>
          <w:rFonts w:ascii="宋体" w:hAnsi="宋体"/>
          <w:color w:val="auto"/>
          <w:szCs w:val="21"/>
          <w:highlight w:val="none"/>
        </w:rPr>
        <w:t>阶段</w:t>
      </w:r>
      <w:r>
        <w:rPr>
          <w:rFonts w:hint="eastAsia" w:ascii="宋体" w:hAnsi="宋体"/>
          <w:color w:val="auto"/>
          <w:szCs w:val="21"/>
          <w:highlight w:val="none"/>
        </w:rPr>
        <w:t>，评委可能会要求有关投标人就其</w:t>
      </w:r>
      <w:r>
        <w:rPr>
          <w:rFonts w:ascii="宋体" w:hAnsi="宋体"/>
          <w:color w:val="auto"/>
          <w:szCs w:val="21"/>
          <w:highlight w:val="none"/>
        </w:rPr>
        <w:t>投标</w:t>
      </w:r>
      <w:r>
        <w:rPr>
          <w:rFonts w:hint="eastAsia" w:ascii="宋体" w:hAnsi="宋体"/>
          <w:color w:val="auto"/>
          <w:szCs w:val="21"/>
          <w:highlight w:val="none"/>
        </w:rPr>
        <w:t>书</w:t>
      </w:r>
      <w:r>
        <w:rPr>
          <w:rFonts w:ascii="宋体" w:hAnsi="宋体"/>
          <w:color w:val="auto"/>
          <w:szCs w:val="21"/>
          <w:highlight w:val="none"/>
        </w:rPr>
        <w:t>中含义不明确、同类问题表述不一致或者有明显文字和计算错误的内容</w:t>
      </w:r>
      <w:r>
        <w:rPr>
          <w:rFonts w:hint="eastAsia" w:ascii="宋体" w:hAnsi="宋体"/>
          <w:color w:val="auto"/>
          <w:szCs w:val="21"/>
          <w:highlight w:val="none"/>
        </w:rPr>
        <w:t>进行澄清。</w:t>
      </w:r>
      <w:r>
        <w:rPr>
          <w:rFonts w:hint="eastAsia" w:ascii="宋体" w:hAnsi="宋体" w:cs="宋体"/>
          <w:b/>
          <w:bCs/>
          <w:color w:val="auto"/>
          <w:szCs w:val="21"/>
          <w:highlight w:val="none"/>
        </w:rPr>
        <w:t>如因投标人未参加开标导致开评标过程中无法澄清、说明或补正的，视同投标人放弃该权利。</w:t>
      </w:r>
    </w:p>
    <w:p w14:paraId="48CCA4AC">
      <w:pPr>
        <w:widowControl w:val="0"/>
        <w:spacing w:line="460" w:lineRule="exact"/>
        <w:ind w:firstLine="525" w:firstLineChars="250"/>
        <w:textAlignment w:val="auto"/>
        <w:rPr>
          <w:rFonts w:ascii="宋体" w:hAnsi="宋体"/>
          <w:color w:val="auto"/>
          <w:szCs w:val="21"/>
          <w:highlight w:val="none"/>
        </w:rPr>
      </w:pPr>
      <w:r>
        <w:rPr>
          <w:rFonts w:hint="eastAsia" w:ascii="宋体" w:hAnsi="宋体"/>
          <w:color w:val="auto"/>
          <w:szCs w:val="21"/>
          <w:highlight w:val="none"/>
        </w:rPr>
        <w:t>5.2</w:t>
      </w:r>
      <w:r>
        <w:rPr>
          <w:rFonts w:ascii="宋体" w:hAnsi="宋体"/>
          <w:color w:val="auto"/>
          <w:szCs w:val="21"/>
          <w:highlight w:val="none"/>
        </w:rPr>
        <w:t>投标人的澄清、说明或者补正应当采用书面形式，</w:t>
      </w:r>
      <w:r>
        <w:rPr>
          <w:rFonts w:hint="eastAsia" w:ascii="宋体" w:hAnsi="宋体"/>
          <w:color w:val="auto"/>
          <w:szCs w:val="21"/>
          <w:highlight w:val="none"/>
        </w:rPr>
        <w:t>但</w:t>
      </w:r>
      <w:r>
        <w:rPr>
          <w:rFonts w:ascii="宋体" w:hAnsi="宋体"/>
          <w:color w:val="auto"/>
          <w:szCs w:val="21"/>
          <w:highlight w:val="none"/>
        </w:rPr>
        <w:t>不得超出投标</w:t>
      </w:r>
      <w:r>
        <w:rPr>
          <w:rFonts w:hint="eastAsia" w:ascii="宋体" w:hAnsi="宋体"/>
          <w:color w:val="auto"/>
          <w:szCs w:val="21"/>
          <w:highlight w:val="none"/>
        </w:rPr>
        <w:t>书</w:t>
      </w:r>
      <w:r>
        <w:rPr>
          <w:rFonts w:ascii="宋体" w:hAnsi="宋体"/>
          <w:color w:val="auto"/>
          <w:szCs w:val="21"/>
          <w:highlight w:val="none"/>
        </w:rPr>
        <w:t>的范围或者改变投标</w:t>
      </w:r>
      <w:r>
        <w:rPr>
          <w:rFonts w:hint="eastAsia" w:ascii="宋体" w:hAnsi="宋体"/>
          <w:color w:val="auto"/>
          <w:szCs w:val="21"/>
          <w:highlight w:val="none"/>
        </w:rPr>
        <w:t>书</w:t>
      </w:r>
      <w:r>
        <w:rPr>
          <w:rFonts w:ascii="宋体" w:hAnsi="宋体"/>
          <w:color w:val="auto"/>
          <w:szCs w:val="21"/>
          <w:highlight w:val="none"/>
        </w:rPr>
        <w:t>的实质性内容</w:t>
      </w:r>
      <w:r>
        <w:rPr>
          <w:rFonts w:hint="eastAsia" w:ascii="宋体" w:hAnsi="宋体"/>
          <w:color w:val="auto"/>
          <w:szCs w:val="21"/>
          <w:highlight w:val="none"/>
        </w:rPr>
        <w:t>，并</w:t>
      </w:r>
      <w:r>
        <w:rPr>
          <w:rFonts w:ascii="宋体" w:hAnsi="宋体"/>
          <w:color w:val="auto"/>
          <w:szCs w:val="21"/>
          <w:highlight w:val="none"/>
        </w:rPr>
        <w:t>由其</w:t>
      </w:r>
      <w:r>
        <w:rPr>
          <w:rFonts w:hint="eastAsia" w:ascii="宋体" w:hAnsi="宋体"/>
          <w:color w:val="auto"/>
          <w:szCs w:val="21"/>
          <w:highlight w:val="none"/>
        </w:rPr>
        <w:t>法定代表人或被</w:t>
      </w:r>
      <w:r>
        <w:rPr>
          <w:rFonts w:ascii="宋体" w:hAnsi="宋体"/>
          <w:color w:val="auto"/>
          <w:szCs w:val="21"/>
          <w:highlight w:val="none"/>
        </w:rPr>
        <w:t>授权的代表签字。</w:t>
      </w:r>
    </w:p>
    <w:p w14:paraId="0AF311F4">
      <w:pPr>
        <w:widowControl w:val="0"/>
        <w:spacing w:line="460" w:lineRule="exact"/>
        <w:ind w:firstLine="525" w:firstLineChars="250"/>
        <w:textAlignment w:val="auto"/>
        <w:rPr>
          <w:rFonts w:ascii="宋体" w:hAnsi="宋体"/>
          <w:color w:val="auto"/>
          <w:szCs w:val="21"/>
          <w:highlight w:val="none"/>
        </w:rPr>
      </w:pPr>
      <w:bookmarkStart w:id="71" w:name="_Hlk88055939"/>
      <w:r>
        <w:rPr>
          <w:rFonts w:hint="eastAsia" w:ascii="宋体" w:hAnsi="宋体"/>
          <w:color w:val="auto"/>
          <w:szCs w:val="21"/>
          <w:highlight w:val="none"/>
        </w:rPr>
        <w:t>5.3</w:t>
      </w:r>
      <w:r>
        <w:rPr>
          <w:rFonts w:ascii="宋体" w:hAnsi="宋体"/>
          <w:color w:val="auto"/>
          <w:szCs w:val="21"/>
          <w:highlight w:val="none"/>
        </w:rPr>
        <w:t>评委会修正错误的原则</w:t>
      </w:r>
      <w:r>
        <w:rPr>
          <w:rFonts w:hint="eastAsia" w:ascii="宋体" w:hAnsi="宋体"/>
          <w:color w:val="auto"/>
          <w:szCs w:val="21"/>
          <w:highlight w:val="none"/>
        </w:rPr>
        <w:t>：</w:t>
      </w:r>
    </w:p>
    <w:p w14:paraId="7F80E661">
      <w:pPr>
        <w:widowControl w:val="0"/>
        <w:spacing w:line="460" w:lineRule="exact"/>
        <w:ind w:firstLine="525" w:firstLineChars="250"/>
        <w:textAlignment w:val="auto"/>
        <w:rPr>
          <w:rFonts w:ascii="宋体" w:hAnsi="宋体"/>
          <w:color w:val="auto"/>
          <w:szCs w:val="21"/>
          <w:highlight w:val="none"/>
        </w:rPr>
      </w:pPr>
      <w:r>
        <w:rPr>
          <w:rFonts w:hint="eastAsia" w:ascii="宋体" w:hAnsi="宋体"/>
          <w:color w:val="auto"/>
          <w:szCs w:val="21"/>
          <w:highlight w:val="none"/>
        </w:rPr>
        <w:t>5.3.1</w:t>
      </w:r>
      <w:r>
        <w:rPr>
          <w:rFonts w:ascii="宋体" w:hAnsi="宋体"/>
          <w:color w:val="auto"/>
          <w:szCs w:val="21"/>
          <w:highlight w:val="none"/>
        </w:rPr>
        <w:t>如果数字表示的</w:t>
      </w:r>
      <w:r>
        <w:rPr>
          <w:rFonts w:hint="eastAsia" w:ascii="宋体" w:hAnsi="宋体"/>
          <w:color w:val="auto"/>
          <w:szCs w:val="21"/>
          <w:highlight w:val="none"/>
        </w:rPr>
        <w:t>费率</w:t>
      </w:r>
      <w:r>
        <w:rPr>
          <w:rFonts w:ascii="宋体" w:hAnsi="宋体"/>
          <w:color w:val="auto"/>
          <w:szCs w:val="21"/>
          <w:highlight w:val="none"/>
        </w:rPr>
        <w:t>和用文字表示的</w:t>
      </w:r>
      <w:r>
        <w:rPr>
          <w:rFonts w:hint="eastAsia" w:ascii="宋体" w:hAnsi="宋体"/>
          <w:color w:val="auto"/>
          <w:szCs w:val="21"/>
          <w:highlight w:val="none"/>
        </w:rPr>
        <w:t>费率</w:t>
      </w:r>
      <w:r>
        <w:rPr>
          <w:rFonts w:ascii="宋体" w:hAnsi="宋体"/>
          <w:color w:val="auto"/>
          <w:szCs w:val="21"/>
          <w:highlight w:val="none"/>
        </w:rPr>
        <w:t>不一致时，以文字表示的</w:t>
      </w:r>
      <w:r>
        <w:rPr>
          <w:rFonts w:hint="eastAsia" w:ascii="宋体" w:hAnsi="宋体"/>
          <w:color w:val="auto"/>
          <w:szCs w:val="21"/>
          <w:highlight w:val="none"/>
        </w:rPr>
        <w:t>费率</w:t>
      </w:r>
      <w:r>
        <w:rPr>
          <w:rFonts w:ascii="宋体" w:hAnsi="宋体"/>
          <w:color w:val="auto"/>
          <w:szCs w:val="21"/>
          <w:highlight w:val="none"/>
        </w:rPr>
        <w:t>为准</w:t>
      </w:r>
      <w:r>
        <w:rPr>
          <w:rFonts w:hint="eastAsia" w:ascii="宋体" w:hAnsi="宋体"/>
          <w:color w:val="auto"/>
          <w:szCs w:val="21"/>
          <w:highlight w:val="none"/>
        </w:rPr>
        <w:t>。</w:t>
      </w:r>
    </w:p>
    <w:p w14:paraId="0F73B2B5">
      <w:pPr>
        <w:widowControl w:val="0"/>
        <w:spacing w:line="460" w:lineRule="exact"/>
        <w:ind w:firstLine="525" w:firstLineChars="250"/>
        <w:textAlignment w:val="auto"/>
        <w:rPr>
          <w:rFonts w:ascii="宋体" w:hAnsi="宋体"/>
          <w:color w:val="auto"/>
          <w:szCs w:val="21"/>
          <w:highlight w:val="none"/>
        </w:rPr>
      </w:pPr>
      <w:r>
        <w:rPr>
          <w:rFonts w:hint="eastAsia" w:ascii="宋体" w:hAnsi="宋体"/>
          <w:color w:val="auto"/>
          <w:szCs w:val="21"/>
          <w:highlight w:val="none"/>
        </w:rPr>
        <w:t>5.3.2</w:t>
      </w:r>
      <w:r>
        <w:rPr>
          <w:rFonts w:ascii="宋体" w:hAnsi="宋体"/>
          <w:color w:val="auto"/>
          <w:szCs w:val="21"/>
          <w:highlight w:val="none"/>
        </w:rPr>
        <w:t>如果单价与数量的乘积和总价不一致，以单价为准</w:t>
      </w:r>
      <w:r>
        <w:rPr>
          <w:rFonts w:hint="eastAsia" w:ascii="宋体" w:hAnsi="宋体"/>
          <w:color w:val="auto"/>
          <w:szCs w:val="21"/>
          <w:highlight w:val="none"/>
        </w:rPr>
        <w:t>，修正总价及开标一览表；</w:t>
      </w:r>
      <w:r>
        <w:rPr>
          <w:rFonts w:ascii="宋体" w:hAnsi="宋体"/>
          <w:color w:val="auto"/>
          <w:szCs w:val="21"/>
          <w:highlight w:val="none"/>
        </w:rPr>
        <w:t>当</w:t>
      </w:r>
      <w:r>
        <w:rPr>
          <w:rFonts w:hint="eastAsia" w:ascii="宋体" w:hAnsi="宋体"/>
          <w:color w:val="auto"/>
          <w:szCs w:val="21"/>
          <w:highlight w:val="none"/>
        </w:rPr>
        <w:t>单价</w:t>
      </w:r>
      <w:r>
        <w:rPr>
          <w:rFonts w:ascii="宋体" w:hAnsi="宋体"/>
          <w:color w:val="auto"/>
          <w:szCs w:val="21"/>
          <w:highlight w:val="none"/>
        </w:rPr>
        <w:t>小数点有明显的</w:t>
      </w:r>
      <w:r>
        <w:rPr>
          <w:rFonts w:hint="eastAsia" w:ascii="宋体" w:hAnsi="宋体"/>
          <w:color w:val="auto"/>
          <w:szCs w:val="21"/>
          <w:highlight w:val="none"/>
        </w:rPr>
        <w:t>错位</w:t>
      </w:r>
      <w:r>
        <w:rPr>
          <w:rFonts w:ascii="宋体" w:hAnsi="宋体"/>
          <w:color w:val="auto"/>
          <w:szCs w:val="21"/>
          <w:highlight w:val="none"/>
        </w:rPr>
        <w:t>时，评委会将以总价为准，并修正其单价</w:t>
      </w:r>
      <w:r>
        <w:rPr>
          <w:rFonts w:hint="eastAsia" w:ascii="宋体" w:hAnsi="宋体"/>
          <w:color w:val="auto"/>
          <w:szCs w:val="21"/>
          <w:highlight w:val="none"/>
        </w:rPr>
        <w:t>。</w:t>
      </w:r>
    </w:p>
    <w:p w14:paraId="51621913">
      <w:pPr>
        <w:spacing w:line="460" w:lineRule="exact"/>
        <w:ind w:firstLine="403" w:firstLineChars="192"/>
        <w:rPr>
          <w:rFonts w:ascii="宋体" w:hAnsi="宋体"/>
          <w:color w:val="auto"/>
          <w:sz w:val="24"/>
          <w:szCs w:val="24"/>
          <w:highlight w:val="none"/>
        </w:rPr>
      </w:pPr>
      <w:r>
        <w:rPr>
          <w:rFonts w:hint="eastAsia" w:ascii="宋体" w:hAnsi="宋体"/>
          <w:color w:val="auto"/>
          <w:szCs w:val="21"/>
          <w:highlight w:val="none"/>
        </w:rPr>
        <w:t xml:space="preserve"> 5.4</w:t>
      </w:r>
      <w:r>
        <w:rPr>
          <w:rFonts w:hint="eastAsia" w:ascii="宋体"/>
          <w:color w:val="auto"/>
          <w:szCs w:val="21"/>
          <w:highlight w:val="none"/>
        </w:rPr>
        <w:t>评委会将按上述修正错误的方法调整投标文件中的投标报价，调整后的价格应对投标人具有约束力。无论投标人是接受或是拒绝调整后的价格，都应当由法定代表人（或委托代理人）签字予以书面确认。投标人拒绝对投标文件出现的错漏按上述原则进行修正、澄清、说明，评标委员会应当否决其投标。</w:t>
      </w:r>
    </w:p>
    <w:p w14:paraId="0576824C">
      <w:pPr>
        <w:spacing w:beforeLines="50" w:afterLines="50" w:line="360" w:lineRule="auto"/>
        <w:jc w:val="center"/>
        <w:outlineLvl w:val="0"/>
        <w:rPr>
          <w:rFonts w:ascii="宋体" w:hAnsi="宋体"/>
          <w:b/>
          <w:color w:val="auto"/>
          <w:sz w:val="28"/>
          <w:szCs w:val="28"/>
          <w:highlight w:val="none"/>
        </w:rPr>
      </w:pPr>
      <w:bookmarkStart w:id="72" w:name="_Toc21052"/>
      <w:bookmarkStart w:id="73" w:name="_Toc32042"/>
      <w:bookmarkStart w:id="74" w:name="_Hlk88124869"/>
      <w:r>
        <w:rPr>
          <w:rFonts w:hint="eastAsia" w:ascii="宋体" w:hAnsi="宋体"/>
          <w:b/>
          <w:color w:val="auto"/>
          <w:sz w:val="28"/>
          <w:szCs w:val="28"/>
          <w:highlight w:val="none"/>
        </w:rPr>
        <w:t>四  比较与评价</w:t>
      </w:r>
      <w:bookmarkEnd w:id="72"/>
      <w:bookmarkEnd w:id="73"/>
    </w:p>
    <w:p w14:paraId="786AE459">
      <w:pPr>
        <w:spacing w:line="440" w:lineRule="exact"/>
        <w:ind w:firstLine="422" w:firstLineChars="200"/>
        <w:rPr>
          <w:rFonts w:ascii="宋体" w:hAnsi="宋体"/>
          <w:b/>
          <w:szCs w:val="21"/>
          <w:highlight w:val="none"/>
        </w:rPr>
      </w:pPr>
      <w:r>
        <w:rPr>
          <w:rFonts w:hint="eastAsia" w:ascii="宋体" w:hAnsi="宋体"/>
          <w:b/>
          <w:color w:val="auto"/>
          <w:szCs w:val="21"/>
          <w:highlight w:val="none"/>
        </w:rPr>
        <w:t xml:space="preserve"> 6. </w:t>
      </w:r>
      <w:r>
        <w:rPr>
          <w:rFonts w:hint="eastAsia" w:ascii="宋体" w:hAnsi="宋体"/>
          <w:b/>
          <w:szCs w:val="21"/>
          <w:highlight w:val="none"/>
        </w:rPr>
        <w:t>详细评审即</w:t>
      </w:r>
      <w:r>
        <w:rPr>
          <w:rFonts w:ascii="宋体" w:hAnsi="宋体"/>
          <w:b/>
          <w:szCs w:val="21"/>
          <w:highlight w:val="none"/>
        </w:rPr>
        <w:t>按</w:t>
      </w:r>
      <w:r>
        <w:rPr>
          <w:rFonts w:hint="eastAsia" w:ascii="宋体" w:hAnsi="宋体"/>
          <w:b/>
          <w:szCs w:val="21"/>
          <w:highlight w:val="none"/>
        </w:rPr>
        <w:t>招标文件</w:t>
      </w:r>
      <w:r>
        <w:rPr>
          <w:rFonts w:ascii="宋体" w:hAnsi="宋体"/>
          <w:b/>
          <w:szCs w:val="21"/>
          <w:highlight w:val="none"/>
        </w:rPr>
        <w:t>中规定的评标方法和标准，</w:t>
      </w:r>
      <w:r>
        <w:rPr>
          <w:rFonts w:hint="eastAsia" w:ascii="宋体" w:hAnsi="宋体"/>
          <w:b/>
          <w:szCs w:val="21"/>
          <w:highlight w:val="none"/>
        </w:rPr>
        <w:t>评标委员会将</w:t>
      </w:r>
      <w:r>
        <w:rPr>
          <w:rFonts w:ascii="宋体" w:hAnsi="宋体"/>
          <w:b/>
          <w:szCs w:val="21"/>
          <w:highlight w:val="none"/>
        </w:rPr>
        <w:t>对</w:t>
      </w:r>
      <w:r>
        <w:rPr>
          <w:rFonts w:hint="eastAsia" w:ascii="宋体" w:hAnsi="宋体"/>
          <w:b/>
          <w:szCs w:val="21"/>
          <w:highlight w:val="none"/>
        </w:rPr>
        <w:t>通过初审</w:t>
      </w:r>
      <w:r>
        <w:rPr>
          <w:rFonts w:ascii="宋体" w:hAnsi="宋体"/>
          <w:b/>
          <w:szCs w:val="21"/>
          <w:highlight w:val="none"/>
        </w:rPr>
        <w:t>的投标</w:t>
      </w:r>
      <w:r>
        <w:rPr>
          <w:rFonts w:hint="eastAsia" w:ascii="宋体" w:hAnsi="宋体"/>
          <w:b/>
          <w:szCs w:val="21"/>
          <w:highlight w:val="none"/>
        </w:rPr>
        <w:t>文件，进行综合比较与评价。</w:t>
      </w:r>
    </w:p>
    <w:p w14:paraId="3137ED55">
      <w:pPr>
        <w:spacing w:line="400" w:lineRule="exact"/>
        <w:rPr>
          <w:b/>
          <w:bCs/>
          <w:szCs w:val="21"/>
          <w:highlight w:val="none"/>
        </w:rPr>
      </w:pPr>
      <w:r>
        <w:rPr>
          <w:rFonts w:hint="eastAsia" w:ascii="宋体" w:hAnsi="宋体"/>
          <w:szCs w:val="21"/>
          <w:highlight w:val="none"/>
        </w:rPr>
        <w:t>6.1</w:t>
      </w:r>
      <w:r>
        <w:rPr>
          <w:rFonts w:hint="eastAsia" w:ascii="宋体" w:hAnsi="宋体" w:cs="宋体"/>
          <w:b/>
          <w:bCs/>
          <w:szCs w:val="21"/>
          <w:highlight w:val="none"/>
        </w:rPr>
        <w:t>评审细则</w:t>
      </w:r>
      <w:r>
        <w:rPr>
          <w:b/>
          <w:bCs/>
          <w:szCs w:val="21"/>
          <w:highlight w:val="none"/>
        </w:rPr>
        <w:t>(</w:t>
      </w:r>
      <w:r>
        <w:rPr>
          <w:rFonts w:hint="eastAsia" w:ascii="宋体" w:hAnsi="宋体" w:cs="宋体"/>
          <w:b/>
          <w:bCs/>
          <w:szCs w:val="21"/>
          <w:highlight w:val="none"/>
        </w:rPr>
        <w:t>100分</w:t>
      </w:r>
      <w:r>
        <w:rPr>
          <w:b/>
          <w:bCs/>
          <w:szCs w:val="21"/>
          <w:highlight w:val="none"/>
        </w:rPr>
        <w:t>)</w:t>
      </w:r>
    </w:p>
    <w:tbl>
      <w:tblPr>
        <w:tblStyle w:val="26"/>
        <w:tblW w:w="93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289"/>
        <w:gridCol w:w="7395"/>
      </w:tblGrid>
      <w:tr w14:paraId="7D676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692" w:type="dxa"/>
            <w:tcBorders>
              <w:top w:val="single" w:color="auto" w:sz="4" w:space="0"/>
              <w:left w:val="single" w:color="auto" w:sz="4" w:space="0"/>
              <w:bottom w:val="single" w:color="auto" w:sz="4" w:space="0"/>
              <w:right w:val="single" w:color="auto" w:sz="4" w:space="0"/>
            </w:tcBorders>
            <w:shd w:val="clear" w:color="auto" w:fill="auto"/>
            <w:vAlign w:val="center"/>
          </w:tcPr>
          <w:p w14:paraId="53BD68F7">
            <w:pPr>
              <w:spacing w:line="440" w:lineRule="exact"/>
              <w:jc w:val="center"/>
              <w:rPr>
                <w:b/>
                <w:bCs/>
                <w:szCs w:val="21"/>
                <w:highlight w:val="none"/>
              </w:rPr>
            </w:pPr>
            <w:r>
              <w:rPr>
                <w:rFonts w:hint="eastAsia" w:ascii="宋体" w:hAnsi="宋体" w:cs="宋体"/>
                <w:b/>
                <w:bCs/>
                <w:szCs w:val="21"/>
                <w:highlight w:val="none"/>
              </w:rPr>
              <w:t>序号</w:t>
            </w:r>
          </w:p>
        </w:tc>
        <w:tc>
          <w:tcPr>
            <w:tcW w:w="1289" w:type="dxa"/>
            <w:tcBorders>
              <w:top w:val="single" w:color="auto" w:sz="4" w:space="0"/>
              <w:left w:val="nil"/>
              <w:bottom w:val="single" w:color="auto" w:sz="4" w:space="0"/>
              <w:right w:val="single" w:color="auto" w:sz="4" w:space="0"/>
            </w:tcBorders>
            <w:shd w:val="clear" w:color="auto" w:fill="auto"/>
            <w:vAlign w:val="center"/>
          </w:tcPr>
          <w:p w14:paraId="50220E74">
            <w:pPr>
              <w:spacing w:line="440" w:lineRule="exact"/>
              <w:jc w:val="center"/>
              <w:rPr>
                <w:b/>
                <w:bCs/>
                <w:szCs w:val="21"/>
                <w:highlight w:val="none"/>
              </w:rPr>
            </w:pPr>
            <w:r>
              <w:rPr>
                <w:rFonts w:hint="eastAsia" w:ascii="宋体" w:hAnsi="宋体" w:cs="宋体"/>
                <w:b/>
                <w:bCs/>
                <w:szCs w:val="21"/>
                <w:highlight w:val="none"/>
              </w:rPr>
              <w:t>评审因素</w:t>
            </w:r>
          </w:p>
        </w:tc>
        <w:tc>
          <w:tcPr>
            <w:tcW w:w="7395" w:type="dxa"/>
            <w:tcBorders>
              <w:top w:val="single" w:color="auto" w:sz="4" w:space="0"/>
              <w:left w:val="nil"/>
              <w:bottom w:val="single" w:color="auto" w:sz="4" w:space="0"/>
              <w:right w:val="single" w:color="auto" w:sz="4" w:space="0"/>
            </w:tcBorders>
            <w:shd w:val="clear" w:color="auto" w:fill="auto"/>
            <w:vAlign w:val="center"/>
          </w:tcPr>
          <w:p w14:paraId="6C162A4C">
            <w:pPr>
              <w:spacing w:line="440" w:lineRule="exact"/>
              <w:jc w:val="center"/>
              <w:rPr>
                <w:b/>
                <w:bCs/>
                <w:szCs w:val="21"/>
                <w:highlight w:val="none"/>
              </w:rPr>
            </w:pPr>
            <w:r>
              <w:rPr>
                <w:rFonts w:hint="eastAsia" w:ascii="宋体" w:hAnsi="宋体" w:cs="宋体"/>
                <w:b/>
                <w:bCs/>
                <w:szCs w:val="21"/>
                <w:highlight w:val="none"/>
              </w:rPr>
              <w:t>评审标准</w:t>
            </w:r>
          </w:p>
        </w:tc>
      </w:tr>
      <w:tr w14:paraId="2127D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tcBorders>
              <w:top w:val="single" w:color="auto" w:sz="4" w:space="0"/>
              <w:left w:val="single" w:color="auto" w:sz="4" w:space="0"/>
              <w:bottom w:val="single" w:color="auto" w:sz="4" w:space="0"/>
              <w:right w:val="single" w:color="auto" w:sz="4" w:space="0"/>
            </w:tcBorders>
            <w:shd w:val="clear" w:color="auto" w:fill="auto"/>
            <w:vAlign w:val="center"/>
          </w:tcPr>
          <w:p w14:paraId="2ABB93F2">
            <w:pPr>
              <w:spacing w:line="440" w:lineRule="exact"/>
              <w:jc w:val="center"/>
              <w:rPr>
                <w:rFonts w:ascii="宋体" w:hAnsi="宋体" w:cs="宋体"/>
                <w:szCs w:val="21"/>
                <w:highlight w:val="none"/>
              </w:rPr>
            </w:pPr>
            <w:r>
              <w:rPr>
                <w:rFonts w:hint="eastAsia" w:ascii="宋体" w:hAnsi="宋体" w:cs="宋体"/>
                <w:szCs w:val="21"/>
                <w:highlight w:val="none"/>
              </w:rPr>
              <w:t>1</w:t>
            </w:r>
          </w:p>
        </w:tc>
        <w:tc>
          <w:tcPr>
            <w:tcW w:w="1289" w:type="dxa"/>
            <w:tcBorders>
              <w:top w:val="single" w:color="auto" w:sz="4" w:space="0"/>
              <w:left w:val="nil"/>
              <w:bottom w:val="single" w:color="auto" w:sz="4" w:space="0"/>
              <w:right w:val="single" w:color="auto" w:sz="4" w:space="0"/>
            </w:tcBorders>
            <w:shd w:val="clear" w:color="auto" w:fill="auto"/>
            <w:vAlign w:val="center"/>
          </w:tcPr>
          <w:p w14:paraId="371D1673">
            <w:pPr>
              <w:spacing w:line="276" w:lineRule="auto"/>
              <w:ind w:firstLine="0" w:firstLineChars="0"/>
              <w:jc w:val="center"/>
              <w:rPr>
                <w:rFonts w:ascii="宋体" w:hAnsi="宋体" w:cs="宋体"/>
                <w:szCs w:val="21"/>
                <w:highlight w:val="none"/>
              </w:rPr>
            </w:pPr>
            <w:r>
              <w:rPr>
                <w:rFonts w:hint="eastAsia" w:ascii="宋体" w:hAnsi="宋体" w:cs="宋体"/>
                <w:b w:val="0"/>
                <w:bCs/>
                <w:color w:val="auto"/>
                <w:szCs w:val="21"/>
                <w:highlight w:val="none"/>
                <w:lang w:val="en-US" w:eastAsia="zh-CN"/>
              </w:rPr>
              <w:t>供应商业绩</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rPr>
              <w:t>分）</w:t>
            </w:r>
          </w:p>
        </w:tc>
        <w:tc>
          <w:tcPr>
            <w:tcW w:w="7395" w:type="dxa"/>
            <w:tcBorders>
              <w:top w:val="single" w:color="auto" w:sz="4" w:space="0"/>
              <w:left w:val="nil"/>
              <w:bottom w:val="single" w:color="auto" w:sz="4" w:space="0"/>
              <w:right w:val="single" w:color="auto" w:sz="4" w:space="0"/>
            </w:tcBorders>
            <w:shd w:val="clear" w:color="auto" w:fill="auto"/>
            <w:vAlign w:val="top"/>
          </w:tcPr>
          <w:p w14:paraId="4444E806">
            <w:pPr>
              <w:pStyle w:val="25"/>
              <w:ind w:left="0" w:leftChars="0" w:firstLine="0" w:firstLineChars="0"/>
              <w:rPr>
                <w:rFonts w:hint="default" w:ascii="宋体" w:hAnsi="宋体" w:cs="宋体"/>
                <w:bCs/>
                <w:color w:val="auto"/>
                <w:szCs w:val="21"/>
                <w:highlight w:val="none"/>
                <w:lang w:val="en-US" w:eastAsia="zh-CN"/>
              </w:rPr>
            </w:pPr>
            <w:r>
              <w:rPr>
                <w:rFonts w:hint="default" w:ascii="宋体" w:hAnsi="宋体" w:cs="宋体"/>
                <w:bCs/>
                <w:color w:val="auto"/>
                <w:szCs w:val="21"/>
                <w:highlight w:val="none"/>
                <w:lang w:val="en-US" w:eastAsia="zh-CN"/>
              </w:rPr>
              <w:t>供应商自202</w:t>
            </w:r>
            <w:r>
              <w:rPr>
                <w:rFonts w:hint="eastAsia" w:ascii="宋体" w:hAnsi="宋体" w:cs="宋体"/>
                <w:bCs/>
                <w:color w:val="auto"/>
                <w:szCs w:val="21"/>
                <w:highlight w:val="none"/>
                <w:lang w:val="en-US" w:eastAsia="zh-CN"/>
              </w:rPr>
              <w:t>6</w:t>
            </w:r>
            <w:r>
              <w:rPr>
                <w:rFonts w:hint="default" w:ascii="宋体" w:hAnsi="宋体" w:cs="宋体"/>
                <w:bCs/>
                <w:color w:val="auto"/>
                <w:szCs w:val="21"/>
                <w:highlight w:val="none"/>
                <w:lang w:val="en-US" w:eastAsia="zh-CN"/>
              </w:rPr>
              <w:t>年1月1日（以合同签订时间为准）以来，具有主体评级相关业绩的，每提供一个业绩得</w:t>
            </w:r>
            <w:r>
              <w:rPr>
                <w:rFonts w:hint="eastAsia" w:hAnsi="宋体" w:cs="宋体"/>
                <w:bCs/>
                <w:color w:val="auto"/>
                <w:szCs w:val="21"/>
                <w:highlight w:val="none"/>
                <w:lang w:val="en-US" w:eastAsia="zh-CN"/>
              </w:rPr>
              <w:t>5</w:t>
            </w:r>
            <w:r>
              <w:rPr>
                <w:rFonts w:hint="default" w:ascii="宋体" w:hAnsi="宋体" w:cs="宋体"/>
                <w:bCs/>
                <w:color w:val="auto"/>
                <w:szCs w:val="21"/>
                <w:highlight w:val="none"/>
                <w:lang w:val="en-US" w:eastAsia="zh-CN"/>
              </w:rPr>
              <w:t>分，本项最高得</w:t>
            </w:r>
            <w:r>
              <w:rPr>
                <w:rFonts w:hint="eastAsia" w:ascii="宋体" w:hAnsi="宋体" w:cs="宋体"/>
                <w:bCs/>
                <w:color w:val="auto"/>
                <w:szCs w:val="21"/>
                <w:highlight w:val="none"/>
                <w:lang w:val="en-US" w:eastAsia="zh-CN"/>
              </w:rPr>
              <w:t>2</w:t>
            </w:r>
            <w:r>
              <w:rPr>
                <w:rFonts w:hint="eastAsia" w:hAnsi="宋体" w:cs="宋体"/>
                <w:bCs/>
                <w:color w:val="auto"/>
                <w:szCs w:val="21"/>
                <w:highlight w:val="none"/>
                <w:lang w:val="en-US" w:eastAsia="zh-CN"/>
              </w:rPr>
              <w:t>0</w:t>
            </w:r>
            <w:r>
              <w:rPr>
                <w:rFonts w:hint="default" w:ascii="宋体" w:hAnsi="宋体" w:cs="宋体"/>
                <w:bCs/>
                <w:color w:val="auto"/>
                <w:szCs w:val="21"/>
                <w:highlight w:val="none"/>
                <w:lang w:val="en-US" w:eastAsia="zh-CN"/>
              </w:rPr>
              <w:t>分。</w:t>
            </w:r>
          </w:p>
          <w:p w14:paraId="70D3467A">
            <w:pPr>
              <w:pStyle w:val="25"/>
              <w:ind w:left="0" w:leftChars="0" w:firstLine="0" w:firstLineChars="0"/>
              <w:rPr>
                <w:rFonts w:hint="default" w:ascii="宋体" w:hAnsi="宋体" w:cs="宋体"/>
                <w:bCs/>
                <w:color w:val="auto"/>
                <w:szCs w:val="21"/>
                <w:highlight w:val="none"/>
                <w:lang w:val="en-US" w:eastAsia="zh-CN"/>
              </w:rPr>
            </w:pPr>
            <w:r>
              <w:rPr>
                <w:rFonts w:hint="default" w:ascii="宋体" w:hAnsi="宋体" w:cs="宋体"/>
                <w:bCs/>
                <w:color w:val="auto"/>
                <w:szCs w:val="21"/>
                <w:highlight w:val="none"/>
                <w:lang w:val="en-US" w:eastAsia="zh-CN"/>
              </w:rPr>
              <w:t>注：</w:t>
            </w:r>
          </w:p>
          <w:p w14:paraId="18DCC111">
            <w:pPr>
              <w:pStyle w:val="25"/>
              <w:ind w:left="0" w:leftChars="0" w:firstLine="0" w:firstLineChars="0"/>
              <w:rPr>
                <w:rFonts w:hint="default" w:ascii="宋体" w:hAnsi="宋体" w:cs="宋体"/>
                <w:bCs/>
                <w:color w:val="auto"/>
                <w:szCs w:val="21"/>
                <w:highlight w:val="none"/>
                <w:lang w:val="en-US" w:eastAsia="zh-CN"/>
              </w:rPr>
            </w:pPr>
            <w:r>
              <w:rPr>
                <w:rFonts w:hint="default" w:ascii="宋体" w:hAnsi="宋体" w:cs="宋体"/>
                <w:bCs/>
                <w:color w:val="auto"/>
                <w:szCs w:val="21"/>
                <w:highlight w:val="none"/>
                <w:lang w:val="en-US" w:eastAsia="zh-CN"/>
              </w:rPr>
              <w:t>（1）响应文件中须提供对应的业绩合同扫描件。</w:t>
            </w:r>
          </w:p>
          <w:p w14:paraId="1977222E">
            <w:pPr>
              <w:pStyle w:val="25"/>
              <w:ind w:left="0" w:leftChars="0" w:firstLine="0" w:firstLineChars="0"/>
              <w:rPr>
                <w:rFonts w:hint="default" w:ascii="宋体" w:hAnsi="宋体" w:cs="宋体"/>
                <w:bCs/>
                <w:color w:val="auto"/>
                <w:szCs w:val="21"/>
                <w:highlight w:val="none"/>
                <w:lang w:val="en-US" w:eastAsia="zh-CN"/>
              </w:rPr>
            </w:pPr>
            <w:r>
              <w:rPr>
                <w:rFonts w:hint="default" w:ascii="宋体" w:hAnsi="宋体" w:cs="宋体"/>
                <w:bCs/>
                <w:color w:val="auto"/>
                <w:szCs w:val="21"/>
                <w:highlight w:val="none"/>
                <w:lang w:val="en-US" w:eastAsia="zh-CN"/>
              </w:rPr>
              <w:t>（2）如合同证明文件未体现时间、项目内容等评审信息的，须另附业主单位盖章的证明材料。</w:t>
            </w:r>
          </w:p>
          <w:p w14:paraId="159E6DEF">
            <w:pPr>
              <w:pStyle w:val="25"/>
              <w:ind w:left="0" w:leftChars="0" w:firstLine="0" w:firstLineChars="0"/>
              <w:rPr>
                <w:rFonts w:ascii="宋体" w:hAnsi="宋体" w:cs="宋体"/>
                <w:b/>
                <w:bCs/>
                <w:szCs w:val="21"/>
                <w:highlight w:val="none"/>
              </w:rPr>
            </w:pPr>
            <w:r>
              <w:rPr>
                <w:rFonts w:hint="default" w:ascii="宋体" w:hAnsi="宋体" w:cs="宋体"/>
                <w:bCs/>
                <w:color w:val="auto"/>
                <w:szCs w:val="21"/>
                <w:highlight w:val="none"/>
                <w:lang w:val="en-US" w:eastAsia="zh-CN"/>
              </w:rPr>
              <w:t>（3）未提供的，则本项不得分。</w:t>
            </w:r>
          </w:p>
        </w:tc>
      </w:tr>
      <w:tr w14:paraId="7F631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tcBorders>
              <w:top w:val="single" w:color="auto" w:sz="4" w:space="0"/>
              <w:left w:val="single" w:color="auto" w:sz="4" w:space="0"/>
              <w:bottom w:val="single" w:color="auto" w:sz="4" w:space="0"/>
              <w:right w:val="single" w:color="auto" w:sz="4" w:space="0"/>
            </w:tcBorders>
            <w:shd w:val="clear" w:color="auto" w:fill="auto"/>
            <w:vAlign w:val="center"/>
          </w:tcPr>
          <w:p w14:paraId="656F70C2">
            <w:pPr>
              <w:spacing w:line="440" w:lineRule="exact"/>
              <w:jc w:val="center"/>
              <w:rPr>
                <w:rFonts w:ascii="宋体" w:hAnsi="宋体" w:cs="宋体"/>
                <w:szCs w:val="21"/>
                <w:highlight w:val="none"/>
              </w:rPr>
            </w:pPr>
            <w:r>
              <w:rPr>
                <w:rFonts w:hint="eastAsia" w:ascii="宋体" w:hAnsi="宋体" w:cs="宋体"/>
                <w:szCs w:val="21"/>
                <w:highlight w:val="none"/>
              </w:rPr>
              <w:t>2</w:t>
            </w:r>
          </w:p>
        </w:tc>
        <w:tc>
          <w:tcPr>
            <w:tcW w:w="1289" w:type="dxa"/>
            <w:tcBorders>
              <w:top w:val="single" w:color="auto" w:sz="4" w:space="0"/>
              <w:left w:val="nil"/>
              <w:bottom w:val="single" w:color="auto" w:sz="4" w:space="0"/>
              <w:right w:val="single" w:color="auto" w:sz="4" w:space="0"/>
            </w:tcBorders>
            <w:shd w:val="clear" w:color="auto" w:fill="auto"/>
            <w:vAlign w:val="center"/>
          </w:tcPr>
          <w:p w14:paraId="6C29FFDF">
            <w:pPr>
              <w:pStyle w:val="25"/>
              <w:ind w:left="0" w:leftChars="0" w:firstLine="0" w:firstLineChars="0"/>
              <w:jc w:val="center"/>
              <w:rPr>
                <w:rFonts w:hint="default"/>
                <w:color w:val="auto"/>
                <w:highlight w:val="none"/>
                <w:lang w:val="en-US" w:eastAsia="zh-CN"/>
              </w:rPr>
            </w:pPr>
            <w:r>
              <w:rPr>
                <w:rFonts w:hint="default"/>
                <w:color w:val="auto"/>
                <w:highlight w:val="none"/>
                <w:lang w:val="en-US" w:eastAsia="zh-CN"/>
              </w:rPr>
              <w:t>债券违约率表现</w:t>
            </w:r>
          </w:p>
          <w:p w14:paraId="080BF623">
            <w:pPr>
              <w:pStyle w:val="25"/>
              <w:ind w:left="0" w:leftChars="0" w:firstLine="0" w:firstLineChars="0"/>
              <w:jc w:val="center"/>
              <w:rPr>
                <w:rFonts w:hint="default"/>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30</w:t>
            </w:r>
            <w:r>
              <w:rPr>
                <w:rFonts w:hint="default"/>
                <w:color w:val="auto"/>
                <w:highlight w:val="none"/>
                <w:lang w:val="en-US" w:eastAsia="zh-CN"/>
              </w:rPr>
              <w:t>分）</w:t>
            </w:r>
          </w:p>
          <w:p w14:paraId="0AF4BD1E">
            <w:pPr>
              <w:spacing w:line="276" w:lineRule="auto"/>
              <w:ind w:firstLine="0" w:firstLineChars="0"/>
              <w:jc w:val="center"/>
              <w:rPr>
                <w:rFonts w:ascii="宋体" w:hAnsi="宋体" w:cs="宋体"/>
                <w:szCs w:val="21"/>
                <w:highlight w:val="none"/>
              </w:rPr>
            </w:pPr>
          </w:p>
        </w:tc>
        <w:tc>
          <w:tcPr>
            <w:tcW w:w="7395" w:type="dxa"/>
            <w:tcBorders>
              <w:top w:val="single" w:color="auto" w:sz="4" w:space="0"/>
              <w:left w:val="nil"/>
              <w:bottom w:val="single" w:color="auto" w:sz="4" w:space="0"/>
              <w:right w:val="single" w:color="auto" w:sz="4" w:space="0"/>
            </w:tcBorders>
            <w:shd w:val="clear" w:color="auto" w:fill="auto"/>
            <w:vAlign w:val="top"/>
          </w:tcPr>
          <w:p w14:paraId="13270994">
            <w:pPr>
              <w:pStyle w:val="25"/>
              <w:ind w:left="0" w:leftChars="0" w:firstLine="0" w:firstLineChars="0"/>
              <w:rPr>
                <w:rFonts w:hint="eastAsia"/>
                <w:color w:val="auto"/>
                <w:highlight w:val="none"/>
                <w:lang w:val="en-US" w:eastAsia="zh-CN"/>
              </w:rPr>
            </w:pPr>
            <w:r>
              <w:rPr>
                <w:rFonts w:hint="default"/>
                <w:color w:val="auto"/>
                <w:highlight w:val="none"/>
                <w:lang w:val="en-US" w:eastAsia="zh-CN"/>
              </w:rPr>
              <w:t>根据交易商协会和证券业协会发布的 202</w:t>
            </w:r>
            <w:r>
              <w:rPr>
                <w:rFonts w:hint="eastAsia"/>
                <w:color w:val="auto"/>
                <w:highlight w:val="none"/>
                <w:lang w:val="en-US" w:eastAsia="zh-CN"/>
              </w:rPr>
              <w:t>6</w:t>
            </w:r>
            <w:r>
              <w:rPr>
                <w:rFonts w:hint="default"/>
                <w:color w:val="auto"/>
                <w:highlight w:val="none"/>
                <w:lang w:val="en-US" w:eastAsia="zh-CN"/>
              </w:rPr>
              <w:t xml:space="preserve"> 年第一季度债券市场信用评级机构业务运行及合规情况通报，以202</w:t>
            </w:r>
            <w:r>
              <w:rPr>
                <w:rFonts w:hint="eastAsia"/>
                <w:color w:val="auto"/>
                <w:highlight w:val="none"/>
                <w:lang w:val="en-US" w:eastAsia="zh-CN"/>
              </w:rPr>
              <w:t>5</w:t>
            </w:r>
            <w:r>
              <w:rPr>
                <w:rFonts w:hint="default"/>
                <w:color w:val="auto"/>
                <w:highlight w:val="none"/>
                <w:lang w:val="en-US" w:eastAsia="zh-CN"/>
              </w:rPr>
              <w:t>年各评级机构所评公司非金融企业发行主体中 1 年期</w:t>
            </w:r>
            <w:r>
              <w:rPr>
                <w:rFonts w:hint="eastAsia"/>
                <w:color w:val="auto"/>
                <w:highlight w:val="none"/>
                <w:lang w:val="en-US" w:eastAsia="zh-CN"/>
              </w:rPr>
              <w:t xml:space="preserve"> </w:t>
            </w:r>
            <w:r>
              <w:rPr>
                <w:rFonts w:hint="default"/>
                <w:color w:val="auto"/>
                <w:highlight w:val="none"/>
                <w:lang w:val="en-US" w:eastAsia="zh-CN"/>
              </w:rPr>
              <w:t>AA+</w:t>
            </w:r>
            <w:r>
              <w:rPr>
                <w:rFonts w:hint="eastAsia"/>
                <w:color w:val="auto"/>
                <w:highlight w:val="none"/>
                <w:lang w:val="en-US" w:eastAsia="zh-CN"/>
              </w:rPr>
              <w:t xml:space="preserve"> </w:t>
            </w:r>
            <w:r>
              <w:rPr>
                <w:rFonts w:hint="default"/>
                <w:color w:val="auto"/>
                <w:highlight w:val="none"/>
                <w:lang w:val="en-US" w:eastAsia="zh-CN"/>
              </w:rPr>
              <w:t>级别平均累计违约率为评分标准</w:t>
            </w:r>
            <w:r>
              <w:rPr>
                <w:rFonts w:hint="eastAsia"/>
                <w:color w:val="auto"/>
                <w:highlight w:val="none"/>
                <w:lang w:val="en-US" w:eastAsia="zh-CN"/>
              </w:rPr>
              <w:t>：</w:t>
            </w:r>
          </w:p>
          <w:p w14:paraId="24C48CE6">
            <w:pPr>
              <w:pStyle w:val="25"/>
              <w:ind w:left="0" w:leftChars="0" w:firstLine="0" w:firstLineChars="0"/>
              <w:rPr>
                <w:rFonts w:hint="default"/>
                <w:color w:val="auto"/>
                <w:highlight w:val="none"/>
                <w:lang w:val="en-US" w:eastAsia="zh-CN"/>
              </w:rPr>
            </w:pPr>
            <w:r>
              <w:rPr>
                <w:rFonts w:hint="default"/>
                <w:color w:val="auto"/>
                <w:highlight w:val="none"/>
                <w:lang w:val="en-US" w:eastAsia="zh-CN"/>
              </w:rPr>
              <w:t xml:space="preserve">违约率 0-0.1%（含）得 </w:t>
            </w:r>
            <w:r>
              <w:rPr>
                <w:rFonts w:hint="eastAsia"/>
                <w:color w:val="auto"/>
                <w:highlight w:val="none"/>
                <w:lang w:val="en-US" w:eastAsia="zh-CN"/>
              </w:rPr>
              <w:t>30</w:t>
            </w:r>
            <w:r>
              <w:rPr>
                <w:rFonts w:hint="default"/>
                <w:color w:val="auto"/>
                <w:highlight w:val="none"/>
                <w:lang w:val="en-US" w:eastAsia="zh-CN"/>
              </w:rPr>
              <w:t xml:space="preserve"> 分，0.1%-0.15%（含）得</w:t>
            </w:r>
            <w:r>
              <w:rPr>
                <w:rFonts w:hint="eastAsia"/>
                <w:color w:val="auto"/>
                <w:highlight w:val="none"/>
                <w:lang w:val="en-US" w:eastAsia="zh-CN"/>
              </w:rPr>
              <w:t>2</w:t>
            </w:r>
            <w:r>
              <w:rPr>
                <w:rFonts w:hint="default"/>
                <w:color w:val="auto"/>
                <w:highlight w:val="none"/>
                <w:lang w:val="en-US" w:eastAsia="zh-CN"/>
              </w:rPr>
              <w:t xml:space="preserve">5分，0.15%-0.2%（含）得 </w:t>
            </w:r>
            <w:r>
              <w:rPr>
                <w:rFonts w:hint="eastAsia"/>
                <w:color w:val="auto"/>
                <w:highlight w:val="none"/>
                <w:lang w:val="en-US" w:eastAsia="zh-CN"/>
              </w:rPr>
              <w:t>20</w:t>
            </w:r>
            <w:r>
              <w:rPr>
                <w:rFonts w:hint="default"/>
                <w:color w:val="auto"/>
                <w:highlight w:val="none"/>
                <w:lang w:val="en-US" w:eastAsia="zh-CN"/>
              </w:rPr>
              <w:t xml:space="preserve"> 分，0.2%以上得</w:t>
            </w:r>
            <w:r>
              <w:rPr>
                <w:rFonts w:hint="eastAsia"/>
                <w:color w:val="auto"/>
                <w:highlight w:val="none"/>
                <w:lang w:val="en-US" w:eastAsia="zh-CN"/>
              </w:rPr>
              <w:t>10</w:t>
            </w:r>
            <w:r>
              <w:rPr>
                <w:rFonts w:hint="default"/>
                <w:color w:val="auto"/>
                <w:highlight w:val="none"/>
                <w:lang w:val="en-US" w:eastAsia="zh-CN"/>
              </w:rPr>
              <w:t>分。</w:t>
            </w:r>
          </w:p>
          <w:p w14:paraId="0BBDB117">
            <w:pPr>
              <w:pStyle w:val="25"/>
              <w:ind w:left="0" w:leftChars="0" w:firstLine="0" w:firstLineChars="0"/>
              <w:rPr>
                <w:rFonts w:hint="default"/>
                <w:color w:val="auto"/>
                <w:highlight w:val="none"/>
                <w:lang w:val="en-US" w:eastAsia="zh-CN"/>
              </w:rPr>
            </w:pPr>
            <w:r>
              <w:rPr>
                <w:rFonts w:hint="default"/>
                <w:color w:val="auto"/>
                <w:highlight w:val="none"/>
                <w:lang w:val="en-US" w:eastAsia="zh-CN"/>
              </w:rPr>
              <w:t>注：需在响应文件中提供交易商协会和证券业协会发布的 202</w:t>
            </w:r>
            <w:r>
              <w:rPr>
                <w:rFonts w:hint="eastAsia"/>
                <w:color w:val="auto"/>
                <w:highlight w:val="none"/>
                <w:lang w:val="en-US" w:eastAsia="zh-CN"/>
              </w:rPr>
              <w:t>6</w:t>
            </w:r>
            <w:r>
              <w:rPr>
                <w:rFonts w:hint="default"/>
                <w:color w:val="auto"/>
                <w:highlight w:val="none"/>
                <w:lang w:val="en-US" w:eastAsia="zh-CN"/>
              </w:rPr>
              <w:t xml:space="preserve"> 年第一季度债券市场信用评级机构业务运行及合规情况通报。</w:t>
            </w:r>
          </w:p>
          <w:p w14:paraId="38F66A20">
            <w:pPr>
              <w:pStyle w:val="25"/>
              <w:ind w:left="0" w:leftChars="0" w:firstLine="0" w:firstLineChars="0"/>
              <w:rPr>
                <w:rFonts w:ascii="宋体" w:hAnsi="宋体" w:cs="宋体"/>
                <w:szCs w:val="21"/>
                <w:highlight w:val="none"/>
              </w:rPr>
            </w:pPr>
            <w:r>
              <w:rPr>
                <w:rFonts w:hint="default"/>
                <w:color w:val="auto"/>
                <w:highlight w:val="none"/>
                <w:lang w:val="en-US" w:eastAsia="zh-CN"/>
              </w:rPr>
              <w:t>没有提供或提供的材料不满足要求的不得分。</w:t>
            </w:r>
          </w:p>
        </w:tc>
      </w:tr>
      <w:tr w14:paraId="20E04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tcBorders>
              <w:top w:val="single" w:color="auto" w:sz="4" w:space="0"/>
              <w:left w:val="single" w:color="auto" w:sz="4" w:space="0"/>
              <w:bottom w:val="single" w:color="auto" w:sz="4" w:space="0"/>
              <w:right w:val="single" w:color="auto" w:sz="4" w:space="0"/>
            </w:tcBorders>
            <w:shd w:val="clear" w:color="auto" w:fill="auto"/>
            <w:vAlign w:val="center"/>
          </w:tcPr>
          <w:p w14:paraId="38042088">
            <w:pPr>
              <w:spacing w:line="440" w:lineRule="exact"/>
              <w:jc w:val="center"/>
              <w:rPr>
                <w:rFonts w:ascii="宋体" w:hAnsi="宋体" w:cs="宋体"/>
                <w:szCs w:val="21"/>
                <w:highlight w:val="none"/>
              </w:rPr>
            </w:pPr>
            <w:r>
              <w:rPr>
                <w:rFonts w:hint="eastAsia" w:ascii="宋体" w:hAnsi="宋体" w:cs="宋体"/>
                <w:szCs w:val="21"/>
                <w:highlight w:val="none"/>
              </w:rPr>
              <w:t>3</w:t>
            </w:r>
          </w:p>
        </w:tc>
        <w:tc>
          <w:tcPr>
            <w:tcW w:w="1289" w:type="dxa"/>
            <w:tcBorders>
              <w:top w:val="single" w:color="auto" w:sz="4" w:space="0"/>
              <w:left w:val="nil"/>
              <w:bottom w:val="single" w:color="auto" w:sz="4" w:space="0"/>
              <w:right w:val="single" w:color="auto" w:sz="4" w:space="0"/>
            </w:tcBorders>
            <w:shd w:val="clear" w:color="auto" w:fill="auto"/>
            <w:vAlign w:val="center"/>
          </w:tcPr>
          <w:p w14:paraId="07FC9BEA">
            <w:pPr>
              <w:spacing w:line="276" w:lineRule="auto"/>
              <w:ind w:firstLine="0" w:firstLineChars="0"/>
              <w:jc w:val="center"/>
              <w:rPr>
                <w:rFonts w:ascii="宋体" w:hAnsi="宋体" w:cs="宋体"/>
                <w:szCs w:val="21"/>
                <w:highlight w:val="none"/>
              </w:rPr>
            </w:pPr>
            <w:r>
              <w:rPr>
                <w:rFonts w:hint="eastAsia" w:ascii="宋体" w:hAnsi="宋体" w:cs="宋体"/>
                <w:b w:val="0"/>
                <w:bCs/>
                <w:color w:val="auto"/>
                <w:szCs w:val="21"/>
                <w:highlight w:val="none"/>
                <w:lang w:val="en-US" w:eastAsia="zh-CN"/>
              </w:rPr>
              <w:t>评级总体服务方案</w:t>
            </w:r>
            <w:r>
              <w:rPr>
                <w:rFonts w:hint="eastAsia" w:ascii="宋体" w:hAnsi="宋体" w:eastAsia="宋体" w:cs="宋体"/>
                <w:color w:val="auto"/>
                <w:sz w:val="24"/>
                <w:szCs w:val="24"/>
                <w:highlight w:val="none"/>
              </w:rPr>
              <w:br w:type="textWrapping"/>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20分</w:t>
            </w:r>
            <w:r>
              <w:rPr>
                <w:rFonts w:hint="eastAsia" w:ascii="宋体" w:hAnsi="宋体" w:cs="宋体"/>
                <w:color w:val="auto"/>
                <w:sz w:val="24"/>
                <w:szCs w:val="24"/>
                <w:highlight w:val="none"/>
                <w:lang w:eastAsia="zh-CN"/>
              </w:rPr>
              <w:t>）</w:t>
            </w:r>
          </w:p>
        </w:tc>
        <w:tc>
          <w:tcPr>
            <w:tcW w:w="7395" w:type="dxa"/>
            <w:tcBorders>
              <w:top w:val="single" w:color="auto" w:sz="4" w:space="0"/>
              <w:left w:val="nil"/>
              <w:bottom w:val="single" w:color="auto" w:sz="4" w:space="0"/>
              <w:right w:val="single" w:color="auto" w:sz="4" w:space="0"/>
            </w:tcBorders>
            <w:shd w:val="clear" w:color="auto" w:fill="auto"/>
            <w:vAlign w:val="top"/>
          </w:tcPr>
          <w:p w14:paraId="1CF92F45">
            <w:pPr>
              <w:pStyle w:val="25"/>
              <w:ind w:left="0" w:leftChars="0" w:firstLine="0" w:firstLineChars="0"/>
              <w:rPr>
                <w:rFonts w:hint="default"/>
                <w:color w:val="auto"/>
                <w:highlight w:val="none"/>
                <w:lang w:val="en-US" w:eastAsia="zh-CN"/>
              </w:rPr>
            </w:pPr>
            <w:r>
              <w:rPr>
                <w:rFonts w:hint="default"/>
                <w:color w:val="auto"/>
                <w:highlight w:val="none"/>
                <w:lang w:val="en-US" w:eastAsia="zh-CN"/>
              </w:rPr>
              <w:t>投标供应商需充分了解分析项目需求，提供项目评级总体服务方案，包括为企业提供综合金融服务的实力、信用评级方案步骤、现场访谈计划、为企业提供及时周到服务及人员配备等方面，由磋商小组进行综合评分：</w:t>
            </w:r>
          </w:p>
          <w:p w14:paraId="3A162888">
            <w:pPr>
              <w:pStyle w:val="25"/>
              <w:ind w:left="0" w:leftChars="0" w:firstLine="0" w:firstLineChars="0"/>
              <w:rPr>
                <w:rFonts w:hint="default"/>
                <w:color w:val="auto"/>
                <w:highlight w:val="none"/>
                <w:lang w:val="en-US" w:eastAsia="zh-CN"/>
              </w:rPr>
            </w:pPr>
            <w:r>
              <w:rPr>
                <w:rFonts w:hint="default"/>
                <w:color w:val="auto"/>
                <w:highlight w:val="none"/>
                <w:lang w:val="en-US" w:eastAsia="zh-CN"/>
              </w:rPr>
              <w:t>注：</w:t>
            </w:r>
          </w:p>
          <w:p w14:paraId="6E52CA21">
            <w:pPr>
              <w:pStyle w:val="25"/>
              <w:ind w:left="0" w:leftChars="0" w:firstLine="0" w:firstLineChars="0"/>
              <w:rPr>
                <w:rFonts w:hint="default"/>
                <w:color w:val="auto"/>
                <w:highlight w:val="none"/>
                <w:lang w:val="en-US" w:eastAsia="zh-CN"/>
              </w:rPr>
            </w:pPr>
            <w:r>
              <w:rPr>
                <w:rFonts w:hint="default"/>
                <w:color w:val="auto"/>
                <w:highlight w:val="none"/>
                <w:lang w:val="en-US" w:eastAsia="zh-CN"/>
              </w:rPr>
              <w:t>1.总体服务方案详细完善，科学合理，具有很强的针对性和可行性，得20</w:t>
            </w:r>
            <w:r>
              <w:rPr>
                <w:rFonts w:hint="eastAsia"/>
                <w:color w:val="auto"/>
                <w:highlight w:val="none"/>
                <w:lang w:val="en-US" w:eastAsia="zh-CN"/>
              </w:rPr>
              <w:t>-16</w:t>
            </w:r>
            <w:r>
              <w:rPr>
                <w:rFonts w:hint="default"/>
                <w:color w:val="auto"/>
                <w:highlight w:val="none"/>
                <w:lang w:val="en-US" w:eastAsia="zh-CN"/>
              </w:rPr>
              <w:t>分；</w:t>
            </w:r>
          </w:p>
          <w:p w14:paraId="4A12EBDD">
            <w:pPr>
              <w:pStyle w:val="25"/>
              <w:ind w:left="0" w:leftChars="0" w:firstLine="0" w:firstLineChars="0"/>
              <w:rPr>
                <w:rFonts w:hint="default"/>
                <w:color w:val="auto"/>
                <w:highlight w:val="none"/>
                <w:lang w:val="en-US" w:eastAsia="zh-CN"/>
              </w:rPr>
            </w:pPr>
            <w:r>
              <w:rPr>
                <w:rFonts w:hint="default"/>
                <w:color w:val="auto"/>
                <w:highlight w:val="none"/>
                <w:lang w:val="en-US" w:eastAsia="zh-CN"/>
              </w:rPr>
              <w:t>2.总体服务方案较详细完善，基本合理，具有较强的针对性和可行性，得</w:t>
            </w:r>
            <w:r>
              <w:rPr>
                <w:rFonts w:hint="eastAsia"/>
                <w:color w:val="auto"/>
                <w:highlight w:val="none"/>
                <w:lang w:val="en-US" w:eastAsia="zh-CN"/>
              </w:rPr>
              <w:t>16-12</w:t>
            </w:r>
            <w:r>
              <w:rPr>
                <w:rFonts w:hint="default"/>
                <w:color w:val="auto"/>
                <w:highlight w:val="none"/>
                <w:lang w:val="en-US" w:eastAsia="zh-CN"/>
              </w:rPr>
              <w:t>分；</w:t>
            </w:r>
          </w:p>
          <w:p w14:paraId="45BF6B25">
            <w:pPr>
              <w:pStyle w:val="25"/>
              <w:ind w:left="0" w:leftChars="0" w:firstLine="0" w:firstLineChars="0"/>
              <w:rPr>
                <w:rFonts w:hint="default"/>
                <w:color w:val="auto"/>
                <w:highlight w:val="none"/>
                <w:lang w:val="en-US" w:eastAsia="zh-CN"/>
              </w:rPr>
            </w:pPr>
            <w:r>
              <w:rPr>
                <w:rFonts w:hint="default"/>
                <w:color w:val="auto"/>
                <w:highlight w:val="none"/>
                <w:lang w:val="en-US" w:eastAsia="zh-CN"/>
              </w:rPr>
              <w:t>3.总体服务方案有待进一步完善的，得</w:t>
            </w:r>
            <w:r>
              <w:rPr>
                <w:rFonts w:hint="eastAsia"/>
                <w:color w:val="auto"/>
                <w:highlight w:val="none"/>
                <w:lang w:val="en-US" w:eastAsia="zh-CN"/>
              </w:rPr>
              <w:t>12-8</w:t>
            </w:r>
            <w:r>
              <w:rPr>
                <w:rFonts w:hint="default"/>
                <w:color w:val="auto"/>
                <w:highlight w:val="none"/>
                <w:lang w:val="en-US" w:eastAsia="zh-CN"/>
              </w:rPr>
              <w:t>分；</w:t>
            </w:r>
          </w:p>
          <w:p w14:paraId="6ED19EDA">
            <w:pPr>
              <w:pStyle w:val="25"/>
              <w:ind w:left="0" w:leftChars="0" w:firstLine="0" w:firstLineChars="0"/>
              <w:rPr>
                <w:rFonts w:ascii="宋体" w:hAnsi="宋体" w:cs="宋体"/>
                <w:szCs w:val="21"/>
                <w:highlight w:val="none"/>
              </w:rPr>
            </w:pPr>
            <w:r>
              <w:rPr>
                <w:rFonts w:hint="default"/>
                <w:color w:val="auto"/>
                <w:highlight w:val="none"/>
                <w:lang w:val="en-US" w:eastAsia="zh-CN"/>
              </w:rPr>
              <w:t>4.总体服务方案较差或未提供的不得分。</w:t>
            </w:r>
          </w:p>
        </w:tc>
      </w:tr>
      <w:tr w14:paraId="6CE7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tcBorders>
              <w:top w:val="single" w:color="auto" w:sz="4" w:space="0"/>
              <w:left w:val="single" w:color="auto" w:sz="4" w:space="0"/>
              <w:bottom w:val="single" w:color="auto" w:sz="4" w:space="0"/>
              <w:right w:val="single" w:color="auto" w:sz="4" w:space="0"/>
            </w:tcBorders>
            <w:shd w:val="clear" w:color="auto" w:fill="auto"/>
            <w:vAlign w:val="center"/>
          </w:tcPr>
          <w:p w14:paraId="2F108B9B">
            <w:pPr>
              <w:spacing w:line="440" w:lineRule="exact"/>
              <w:jc w:val="center"/>
              <w:rPr>
                <w:rFonts w:ascii="宋体" w:hAnsi="宋体" w:cs="宋体"/>
                <w:szCs w:val="21"/>
                <w:highlight w:val="none"/>
              </w:rPr>
            </w:pPr>
            <w:r>
              <w:rPr>
                <w:rFonts w:hint="eastAsia" w:ascii="宋体" w:hAnsi="宋体" w:cs="宋体"/>
                <w:szCs w:val="21"/>
                <w:highlight w:val="none"/>
              </w:rPr>
              <w:t>4</w:t>
            </w:r>
          </w:p>
        </w:tc>
        <w:tc>
          <w:tcPr>
            <w:tcW w:w="1289" w:type="dxa"/>
            <w:tcBorders>
              <w:top w:val="single" w:color="auto" w:sz="4" w:space="0"/>
              <w:left w:val="nil"/>
              <w:bottom w:val="single" w:color="auto" w:sz="4" w:space="0"/>
              <w:right w:val="single" w:color="auto" w:sz="4" w:space="0"/>
            </w:tcBorders>
            <w:shd w:val="clear" w:color="auto" w:fill="auto"/>
            <w:vAlign w:val="center"/>
          </w:tcPr>
          <w:p w14:paraId="5A68FD81">
            <w:pPr>
              <w:pStyle w:val="25"/>
              <w:ind w:left="0" w:leftChars="0" w:firstLine="0" w:firstLineChars="0"/>
              <w:jc w:val="center"/>
              <w:rPr>
                <w:rFonts w:hint="eastAsia"/>
                <w:color w:val="auto"/>
                <w:highlight w:val="none"/>
                <w:lang w:val="en-GB" w:eastAsia="zh-CN"/>
              </w:rPr>
            </w:pPr>
            <w:r>
              <w:rPr>
                <w:rFonts w:hint="eastAsia"/>
                <w:color w:val="auto"/>
                <w:highlight w:val="none"/>
                <w:lang w:val="en-GB" w:eastAsia="zh-CN"/>
              </w:rPr>
              <w:t>项目质量维度</w:t>
            </w:r>
          </w:p>
          <w:p w14:paraId="7D31876C">
            <w:pPr>
              <w:pStyle w:val="25"/>
              <w:ind w:left="0" w:leftChars="0" w:firstLine="0" w:firstLineChars="0"/>
              <w:jc w:val="center"/>
              <w:rPr>
                <w:rFonts w:hint="default" w:ascii="宋体" w:hAnsi="宋体" w:eastAsia="宋体" w:cs="Times New Roman"/>
                <w:kern w:val="0"/>
                <w:sz w:val="24"/>
                <w:szCs w:val="24"/>
                <w:highlight w:val="none"/>
                <w:lang w:val="en-US" w:eastAsia="zh-CN"/>
              </w:rPr>
            </w:pPr>
            <w:r>
              <w:rPr>
                <w:rFonts w:hint="eastAsia"/>
                <w:color w:val="auto"/>
                <w:highlight w:val="none"/>
                <w:lang w:val="en-GB" w:eastAsia="zh-CN"/>
              </w:rPr>
              <w:t>（</w:t>
            </w:r>
            <w:r>
              <w:rPr>
                <w:rFonts w:hint="eastAsia"/>
                <w:color w:val="auto"/>
                <w:highlight w:val="none"/>
                <w:lang w:val="en-US" w:eastAsia="zh-CN"/>
              </w:rPr>
              <w:t>2</w:t>
            </w:r>
            <w:r>
              <w:rPr>
                <w:rFonts w:hint="eastAsia"/>
                <w:color w:val="auto"/>
                <w:highlight w:val="none"/>
                <w:lang w:val="en-GB" w:eastAsia="zh-CN"/>
              </w:rPr>
              <w:t>0分）</w:t>
            </w:r>
          </w:p>
        </w:tc>
        <w:tc>
          <w:tcPr>
            <w:tcW w:w="7395" w:type="dxa"/>
            <w:tcBorders>
              <w:top w:val="single" w:color="auto" w:sz="4" w:space="0"/>
              <w:left w:val="nil"/>
              <w:bottom w:val="single" w:color="auto" w:sz="4" w:space="0"/>
              <w:right w:val="single" w:color="auto" w:sz="4" w:space="0"/>
            </w:tcBorders>
            <w:shd w:val="clear" w:color="auto" w:fill="auto"/>
            <w:vAlign w:val="center"/>
          </w:tcPr>
          <w:p w14:paraId="176DE421">
            <w:pPr>
              <w:pStyle w:val="25"/>
              <w:ind w:left="0" w:leftChars="0" w:firstLine="0" w:firstLineChars="0"/>
              <w:rPr>
                <w:rFonts w:hint="eastAsia"/>
                <w:color w:val="auto"/>
                <w:highlight w:val="none"/>
                <w:lang w:val="en-GB" w:eastAsia="zh-CN"/>
              </w:rPr>
            </w:pPr>
            <w:r>
              <w:rPr>
                <w:rFonts w:hint="eastAsia"/>
                <w:color w:val="auto"/>
                <w:highlight w:val="none"/>
                <w:lang w:val="en-GB" w:eastAsia="zh-CN"/>
              </w:rPr>
              <w:t>供应商建立完善的质量管理控制体系，能够提供质量管理及实施控制方法，包括报告质量复核，报告质量检查，质量缺陷识别与整改等方面的程序和制度。</w:t>
            </w:r>
          </w:p>
          <w:p w14:paraId="4AC07383">
            <w:pPr>
              <w:pStyle w:val="25"/>
              <w:ind w:left="0" w:leftChars="0" w:firstLine="0" w:firstLineChars="0"/>
              <w:rPr>
                <w:rFonts w:hint="eastAsia"/>
                <w:color w:val="auto"/>
                <w:highlight w:val="none"/>
                <w:lang w:val="en-GB" w:eastAsia="zh-CN"/>
              </w:rPr>
            </w:pPr>
            <w:r>
              <w:rPr>
                <w:rFonts w:hint="eastAsia"/>
                <w:color w:val="auto"/>
                <w:highlight w:val="none"/>
                <w:lang w:val="en-GB" w:eastAsia="zh-CN"/>
              </w:rPr>
              <w:t xml:space="preserve">1、公司内部的质量管理控制体系较好的，得 </w:t>
            </w:r>
            <w:r>
              <w:rPr>
                <w:rFonts w:hint="eastAsia"/>
                <w:color w:val="auto"/>
                <w:highlight w:val="none"/>
                <w:lang w:val="en-US" w:eastAsia="zh-CN"/>
              </w:rPr>
              <w:t>20</w:t>
            </w:r>
            <w:r>
              <w:rPr>
                <w:rFonts w:hint="eastAsia"/>
                <w:color w:val="auto"/>
                <w:highlight w:val="none"/>
                <w:lang w:val="en-GB" w:eastAsia="zh-CN"/>
              </w:rPr>
              <w:t>分，</w:t>
            </w:r>
          </w:p>
          <w:p w14:paraId="2FF05E98">
            <w:pPr>
              <w:pStyle w:val="25"/>
              <w:ind w:left="0" w:leftChars="0" w:firstLine="0" w:firstLineChars="0"/>
              <w:rPr>
                <w:rFonts w:hint="eastAsia"/>
                <w:color w:val="auto"/>
                <w:highlight w:val="none"/>
                <w:lang w:val="en-GB" w:eastAsia="zh-CN"/>
              </w:rPr>
            </w:pPr>
            <w:r>
              <w:rPr>
                <w:rFonts w:hint="eastAsia"/>
                <w:color w:val="auto"/>
                <w:highlight w:val="none"/>
                <w:lang w:val="en-GB" w:eastAsia="zh-CN"/>
              </w:rPr>
              <w:t xml:space="preserve">2、公司内部的质量管理控制体系一般的，得 </w:t>
            </w:r>
            <w:r>
              <w:rPr>
                <w:rFonts w:hint="eastAsia"/>
                <w:color w:val="auto"/>
                <w:highlight w:val="none"/>
                <w:lang w:val="en-US" w:eastAsia="zh-CN"/>
              </w:rPr>
              <w:t>15</w:t>
            </w:r>
            <w:r>
              <w:rPr>
                <w:rFonts w:hint="eastAsia"/>
                <w:color w:val="auto"/>
                <w:highlight w:val="none"/>
                <w:lang w:val="en-GB" w:eastAsia="zh-CN"/>
              </w:rPr>
              <w:t xml:space="preserve"> 分，</w:t>
            </w:r>
          </w:p>
          <w:p w14:paraId="7DA758CE">
            <w:pPr>
              <w:pStyle w:val="25"/>
              <w:ind w:left="0" w:leftChars="0" w:firstLine="0" w:firstLineChars="0"/>
              <w:rPr>
                <w:rFonts w:hint="eastAsia"/>
                <w:color w:val="auto"/>
                <w:highlight w:val="none"/>
                <w:lang w:val="en-GB" w:eastAsia="zh-CN"/>
              </w:rPr>
            </w:pPr>
            <w:r>
              <w:rPr>
                <w:rFonts w:hint="eastAsia"/>
                <w:color w:val="auto"/>
                <w:highlight w:val="none"/>
                <w:lang w:val="en-GB" w:eastAsia="zh-CN"/>
              </w:rPr>
              <w:t xml:space="preserve">3、公司内部的质量管理控制体系较差的，得 </w:t>
            </w:r>
            <w:r>
              <w:rPr>
                <w:rFonts w:hint="eastAsia"/>
                <w:color w:val="auto"/>
                <w:highlight w:val="none"/>
                <w:lang w:val="en-US" w:eastAsia="zh-CN"/>
              </w:rPr>
              <w:t>10</w:t>
            </w:r>
            <w:r>
              <w:rPr>
                <w:rFonts w:hint="eastAsia"/>
                <w:color w:val="auto"/>
                <w:highlight w:val="none"/>
                <w:lang w:val="en-GB" w:eastAsia="zh-CN"/>
              </w:rPr>
              <w:t xml:space="preserve"> 分。</w:t>
            </w:r>
          </w:p>
          <w:p w14:paraId="7E968640">
            <w:pPr>
              <w:pStyle w:val="25"/>
              <w:ind w:left="0" w:leftChars="0" w:firstLine="0" w:firstLineChars="0"/>
              <w:rPr>
                <w:rFonts w:hint="eastAsia" w:ascii="宋体" w:hAnsi="宋体" w:eastAsia="宋体" w:cs="宋体"/>
                <w:b w:val="0"/>
                <w:bCs/>
                <w:color w:val="auto"/>
                <w:szCs w:val="21"/>
                <w:highlight w:val="none"/>
                <w:lang w:val="en-US" w:eastAsia="zh-CN"/>
              </w:rPr>
            </w:pPr>
            <w:r>
              <w:rPr>
                <w:rFonts w:hint="eastAsia"/>
                <w:color w:val="auto"/>
                <w:highlight w:val="none"/>
                <w:lang w:val="en-GB" w:eastAsia="zh-CN"/>
              </w:rPr>
              <w:t>注：未提供公司内部的质量管理控制体系的，不得分。</w:t>
            </w:r>
          </w:p>
        </w:tc>
      </w:tr>
      <w:tr w14:paraId="6D32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tcBorders>
              <w:top w:val="single" w:color="auto" w:sz="4" w:space="0"/>
              <w:left w:val="single" w:color="auto" w:sz="4" w:space="0"/>
              <w:bottom w:val="single" w:color="auto" w:sz="4" w:space="0"/>
              <w:right w:val="single" w:color="auto" w:sz="4" w:space="0"/>
            </w:tcBorders>
            <w:shd w:val="clear" w:color="auto" w:fill="auto"/>
            <w:vAlign w:val="center"/>
          </w:tcPr>
          <w:p w14:paraId="5264922B">
            <w:pPr>
              <w:spacing w:line="440" w:lineRule="exact"/>
              <w:jc w:val="center"/>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5</w:t>
            </w:r>
          </w:p>
        </w:tc>
        <w:tc>
          <w:tcPr>
            <w:tcW w:w="1289" w:type="dxa"/>
            <w:tcBorders>
              <w:top w:val="single" w:color="auto" w:sz="4" w:space="0"/>
              <w:left w:val="nil"/>
              <w:bottom w:val="single" w:color="auto" w:sz="4" w:space="0"/>
              <w:right w:val="single" w:color="auto" w:sz="4" w:space="0"/>
            </w:tcBorders>
            <w:shd w:val="clear" w:color="auto" w:fill="auto"/>
            <w:vAlign w:val="center"/>
          </w:tcPr>
          <w:p w14:paraId="2BF1C71E">
            <w:pPr>
              <w:pStyle w:val="25"/>
              <w:ind w:left="0" w:leftChars="0" w:firstLine="0" w:firstLineChars="0"/>
              <w:jc w:val="center"/>
              <w:rPr>
                <w:rFonts w:hint="eastAsia"/>
                <w:color w:val="auto"/>
                <w:highlight w:val="none"/>
                <w:lang w:val="en-GB" w:eastAsia="zh-CN"/>
              </w:rPr>
            </w:pPr>
            <w:r>
              <w:rPr>
                <w:rFonts w:hint="eastAsia"/>
                <w:color w:val="auto"/>
                <w:highlight w:val="none"/>
                <w:lang w:val="en-GB" w:eastAsia="zh-CN"/>
              </w:rPr>
              <w:t>投标报价得分计算</w:t>
            </w:r>
          </w:p>
          <w:p w14:paraId="08DA3C70">
            <w:pPr>
              <w:pStyle w:val="25"/>
              <w:ind w:left="0" w:leftChars="0" w:firstLine="0" w:firstLineChars="0"/>
              <w:jc w:val="center"/>
              <w:rPr>
                <w:rFonts w:hint="eastAsia"/>
                <w:color w:val="auto"/>
                <w:highlight w:val="none"/>
                <w:lang w:val="en-US" w:eastAsia="zh-CN"/>
              </w:rPr>
            </w:pPr>
            <w:r>
              <w:rPr>
                <w:rFonts w:hint="eastAsia"/>
                <w:color w:val="auto"/>
                <w:highlight w:val="none"/>
                <w:lang w:val="en-GB" w:eastAsia="zh-CN"/>
              </w:rPr>
              <w:t>（</w:t>
            </w:r>
            <w:r>
              <w:rPr>
                <w:rFonts w:hint="eastAsia"/>
                <w:color w:val="auto"/>
                <w:highlight w:val="none"/>
                <w:lang w:val="en-US" w:eastAsia="zh-CN"/>
              </w:rPr>
              <w:t>10</w:t>
            </w:r>
            <w:r>
              <w:rPr>
                <w:rFonts w:hint="eastAsia"/>
                <w:color w:val="auto"/>
                <w:highlight w:val="none"/>
                <w:lang w:val="en-GB" w:eastAsia="zh-CN"/>
              </w:rPr>
              <w:t>分）</w:t>
            </w:r>
          </w:p>
        </w:tc>
        <w:tc>
          <w:tcPr>
            <w:tcW w:w="7395" w:type="dxa"/>
            <w:tcBorders>
              <w:top w:val="single" w:color="auto" w:sz="4" w:space="0"/>
              <w:left w:val="nil"/>
              <w:bottom w:val="single" w:color="auto" w:sz="4" w:space="0"/>
              <w:right w:val="single" w:color="auto" w:sz="4" w:space="0"/>
            </w:tcBorders>
            <w:shd w:val="clear" w:color="auto" w:fill="auto"/>
            <w:vAlign w:val="top"/>
          </w:tcPr>
          <w:p w14:paraId="1F83EA99">
            <w:pPr>
              <w:pStyle w:val="25"/>
              <w:ind w:left="0" w:leftChars="0" w:firstLine="0" w:firstLineChars="0"/>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价格分采用低价优先法计算，即满足招标文件的最低投标报价为报价基准价,其价格分为满分10分，其他投标人的价格分统一按照下列公式计算：</w:t>
            </w:r>
          </w:p>
          <w:p w14:paraId="2CDB0A3A">
            <w:pPr>
              <w:pStyle w:val="25"/>
              <w:ind w:left="0" w:leftChars="0" w:firstLine="0" w:firstLineChars="0"/>
              <w:rPr>
                <w:rFonts w:hint="default"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最终报价得分=（报价基准价/投标报价）×10（小数点后面保留两位小数，第三位四舍五入）</w:t>
            </w:r>
          </w:p>
        </w:tc>
      </w:tr>
    </w:tbl>
    <w:p w14:paraId="1E356AD5">
      <w:pPr>
        <w:spacing w:line="440" w:lineRule="exact"/>
        <w:rPr>
          <w:rFonts w:ascii="宋体" w:cs="宋体"/>
          <w:b/>
          <w:szCs w:val="21"/>
          <w:highlight w:val="none"/>
        </w:rPr>
      </w:pPr>
      <w:r>
        <w:rPr>
          <w:rFonts w:hint="eastAsia" w:ascii="宋体" w:hAnsi="宋体" w:cs="宋体"/>
          <w:b/>
          <w:szCs w:val="21"/>
          <w:highlight w:val="none"/>
        </w:rPr>
        <w:t>特别说明：</w:t>
      </w:r>
    </w:p>
    <w:p w14:paraId="29C61545">
      <w:pPr>
        <w:spacing w:line="440" w:lineRule="exact"/>
        <w:ind w:firstLine="420" w:firstLineChars="200"/>
        <w:rPr>
          <w:rFonts w:ascii="宋体" w:hAnsi="宋体"/>
          <w:szCs w:val="21"/>
          <w:highlight w:val="none"/>
        </w:rPr>
      </w:pPr>
      <w:r>
        <w:rPr>
          <w:rFonts w:hint="eastAsia" w:ascii="宋体" w:hAnsi="宋体" w:cs="宋体"/>
          <w:szCs w:val="21"/>
          <w:highlight w:val="none"/>
        </w:rPr>
        <w:t>1.</w:t>
      </w:r>
      <w:r>
        <w:rPr>
          <w:rFonts w:hint="eastAsia" w:ascii="宋体" w:hAnsi="宋体" w:cs="宋体"/>
          <w:bCs/>
          <w:szCs w:val="21"/>
          <w:highlight w:val="none"/>
        </w:rPr>
        <w:t>评标专家检验上述材料，如果由于投标人自身原因导致评标专家无法查看并检验纸质标书中以上相关资料的，后果由投标人自行承担。</w:t>
      </w:r>
    </w:p>
    <w:p w14:paraId="4E3D4407">
      <w:pPr>
        <w:spacing w:line="440" w:lineRule="exact"/>
        <w:ind w:firstLine="420" w:firstLineChars="200"/>
        <w:rPr>
          <w:rFonts w:ascii="宋体" w:hAnsi="宋体" w:cs="宋体"/>
          <w:szCs w:val="21"/>
          <w:highlight w:val="none"/>
        </w:rPr>
      </w:pPr>
      <w:r>
        <w:rPr>
          <w:rFonts w:hint="eastAsia" w:ascii="宋体" w:hAnsi="宋体" w:cs="宋体"/>
          <w:szCs w:val="21"/>
          <w:highlight w:val="none"/>
        </w:rPr>
        <w:t>2</w:t>
      </w:r>
      <w:r>
        <w:rPr>
          <w:rFonts w:ascii="宋体" w:hAnsi="宋体" w:cs="宋体"/>
          <w:szCs w:val="21"/>
          <w:highlight w:val="none"/>
        </w:rPr>
        <w:t>.</w:t>
      </w:r>
      <w:r>
        <w:rPr>
          <w:rFonts w:hint="eastAsia" w:ascii="宋体" w:hAnsi="宋体" w:cs="宋体"/>
          <w:szCs w:val="21"/>
          <w:highlight w:val="none"/>
        </w:rPr>
        <w:t>以上分值均保留二位小数，小数点后第三位四舍五入。</w:t>
      </w:r>
    </w:p>
    <w:bookmarkEnd w:id="74"/>
    <w:p w14:paraId="13064B0B">
      <w:pPr>
        <w:spacing w:beforeLines="50" w:afterLines="50" w:line="360" w:lineRule="auto"/>
        <w:jc w:val="center"/>
        <w:outlineLvl w:val="0"/>
        <w:rPr>
          <w:rFonts w:ascii="宋体" w:hAnsi="宋体"/>
          <w:b/>
          <w:color w:val="auto"/>
          <w:sz w:val="28"/>
          <w:szCs w:val="28"/>
          <w:highlight w:val="none"/>
        </w:rPr>
      </w:pPr>
      <w:bookmarkStart w:id="75" w:name="_Toc11117"/>
      <w:bookmarkStart w:id="76" w:name="_Toc4691"/>
      <w:r>
        <w:rPr>
          <w:rFonts w:hint="eastAsia" w:ascii="宋体" w:hAnsi="宋体"/>
          <w:b/>
          <w:color w:val="auto"/>
          <w:sz w:val="28"/>
          <w:szCs w:val="28"/>
          <w:highlight w:val="none"/>
        </w:rPr>
        <w:t>五  推荐中标人</w:t>
      </w:r>
      <w:bookmarkEnd w:id="75"/>
      <w:bookmarkEnd w:id="76"/>
    </w:p>
    <w:p w14:paraId="741865C6">
      <w:pPr>
        <w:spacing w:line="440" w:lineRule="exact"/>
        <w:ind w:firstLine="420" w:firstLineChars="200"/>
        <w:rPr>
          <w:rFonts w:ascii="宋体"/>
          <w:color w:val="auto"/>
          <w:szCs w:val="21"/>
          <w:highlight w:val="none"/>
        </w:rPr>
      </w:pPr>
      <w:bookmarkStart w:id="77" w:name="_Toc267320058"/>
      <w:r>
        <w:rPr>
          <w:rFonts w:hint="eastAsia" w:ascii="宋体"/>
          <w:color w:val="auto"/>
          <w:szCs w:val="21"/>
          <w:highlight w:val="none"/>
        </w:rPr>
        <w:t>7.评标委员会按总得分，从高到低按顺序推荐3名中标候选人，并标明排序。</w:t>
      </w:r>
    </w:p>
    <w:p w14:paraId="3B4045AC">
      <w:pPr>
        <w:spacing w:line="440" w:lineRule="exact"/>
        <w:ind w:firstLine="420" w:firstLineChars="200"/>
        <w:rPr>
          <w:rFonts w:ascii="宋体" w:hAnsi="宋体"/>
          <w:color w:val="auto"/>
          <w:szCs w:val="21"/>
          <w:highlight w:val="none"/>
        </w:rPr>
      </w:pPr>
      <w:r>
        <w:rPr>
          <w:rFonts w:hint="eastAsia" w:ascii="宋体"/>
          <w:color w:val="auto"/>
          <w:szCs w:val="21"/>
          <w:highlight w:val="none"/>
        </w:rPr>
        <w:t>7.1若得分高低排序在前三名的投标人有两个及以上得分相同时，按投标报价低者优先的顺序排列，若综合总得分相同且投标报价相同时，以资信标得分高者优先的顺序排列，资信标得分也相同的情况下，则由招标人现场随机抽取确定预中标候选人排序</w:t>
      </w:r>
      <w:r>
        <w:rPr>
          <w:rFonts w:hint="eastAsia" w:ascii="宋体" w:hAnsi="宋体"/>
          <w:color w:val="auto"/>
          <w:szCs w:val="21"/>
          <w:highlight w:val="none"/>
        </w:rPr>
        <w:t>。</w:t>
      </w:r>
    </w:p>
    <w:p w14:paraId="688DDE50">
      <w:pPr>
        <w:snapToGrid w:val="0"/>
        <w:spacing w:line="440" w:lineRule="exact"/>
        <w:ind w:firstLine="422" w:firstLineChars="200"/>
        <w:rPr>
          <w:rFonts w:ascii="宋体" w:hAnsi="宋体"/>
          <w:b/>
          <w:color w:val="auto"/>
          <w:szCs w:val="21"/>
          <w:highlight w:val="none"/>
        </w:rPr>
      </w:pPr>
      <w:r>
        <w:rPr>
          <w:rFonts w:hint="eastAsia" w:ascii="宋体" w:hAnsi="宋体"/>
          <w:b/>
          <w:color w:val="auto"/>
          <w:szCs w:val="21"/>
          <w:highlight w:val="none"/>
        </w:rPr>
        <w:t>8.</w:t>
      </w:r>
      <w:bookmarkEnd w:id="77"/>
      <w:r>
        <w:rPr>
          <w:rFonts w:hint="eastAsia" w:ascii="宋体" w:hAnsi="宋体"/>
          <w:b/>
          <w:color w:val="auto"/>
          <w:szCs w:val="21"/>
          <w:highlight w:val="none"/>
        </w:rPr>
        <w:t>无效投标条款</w:t>
      </w:r>
    </w:p>
    <w:p w14:paraId="026BE097">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8.1投标文件有下列情形之一的,其投标文件拒收:</w:t>
      </w:r>
    </w:p>
    <w:p w14:paraId="7F8BB9AE">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(1)投标文件逾期送达的或未送达指定地点的；</w:t>
      </w:r>
    </w:p>
    <w:p w14:paraId="5BBAC5FB">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(2)投标文件未按要求密封。</w:t>
      </w:r>
    </w:p>
    <w:p w14:paraId="3AA6B4C3">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8.2投标人有下列情形之一的,资格审查后其投标作废标处理：</w:t>
      </w:r>
    </w:p>
    <w:p w14:paraId="45433E39">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（1）评标专家无法查看并检验纸质标书中相关资料的；</w:t>
      </w:r>
    </w:p>
    <w:p w14:paraId="29A9DDFD">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（2）投标人超出营业范围投标的；</w:t>
      </w:r>
    </w:p>
    <w:p w14:paraId="529C296E">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（3）被暂停营业、被暂停或取消投标资格的；</w:t>
      </w:r>
    </w:p>
    <w:p w14:paraId="2110DD13">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（4）其它无效投标情形。</w:t>
      </w:r>
    </w:p>
    <w:p w14:paraId="437929BA">
      <w:pPr>
        <w:snapToGrid w:val="0"/>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8.3 投标人有下列情形之一的,符合性审查后其投标按无效投标处理：</w:t>
      </w:r>
    </w:p>
    <w:p w14:paraId="7F8A8348">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（1）投标文件签字、盖章不全，经评标委员会一致认定对开评标内容有实质性影响的；</w:t>
      </w:r>
    </w:p>
    <w:p w14:paraId="39A71108">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（2）未按规定的格式填写，实质性内容不全或关键字迹模糊、无法辨认； </w:t>
      </w:r>
    </w:p>
    <w:p w14:paraId="25802D62">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（3）同一投标人提交两个以上不同的投标文件或者投标报价；</w:t>
      </w:r>
    </w:p>
    <w:p w14:paraId="31846B02">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（4）投标文件没有对招标文件的实质性要求和条件作出响应；</w:t>
      </w:r>
    </w:p>
    <w:p w14:paraId="06A56063">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（5）投标报价超出规定的投标限价或公布的采购预算的或投标人的投标报价各项单价高于招标文件给定的单价最高限价；</w:t>
      </w:r>
    </w:p>
    <w:p w14:paraId="3CC18B93">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（6）投标文件含有招标人不能接受的附加条件的；</w:t>
      </w:r>
    </w:p>
    <w:p w14:paraId="1D62F055">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（7）其它无效投标情形。</w:t>
      </w:r>
    </w:p>
    <w:p w14:paraId="662DC7FE">
      <w:pPr>
        <w:snapToGrid w:val="0"/>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8.4 投标人有下列情形之一的, 详细评审后其投标按无效投标处理：</w:t>
      </w:r>
    </w:p>
    <w:p w14:paraId="22B8B350">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（1）投标人有串通投标、弄虚作假、行贿等违法行为；</w:t>
      </w:r>
    </w:p>
    <w:p w14:paraId="15C22C98">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（2）报价明显低于其他投标人，且不能证明报价合理性的投标无效；</w:t>
      </w:r>
    </w:p>
    <w:p w14:paraId="1B1F0A5D">
      <w:pPr>
        <w:spacing w:line="4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（3）其它无效投标情形。</w:t>
      </w:r>
    </w:p>
    <w:p w14:paraId="6379E2D2">
      <w:pPr>
        <w:numPr>
          <w:ilvl w:val="0"/>
          <w:numId w:val="1"/>
        </w:numPr>
        <w:snapToGrid w:val="0"/>
        <w:spacing w:line="400" w:lineRule="exact"/>
        <w:ind w:firstLine="643" w:firstLineChars="200"/>
        <w:jc w:val="center"/>
        <w:rPr>
          <w:rFonts w:ascii="宋体"/>
          <w:b/>
          <w:color w:val="auto"/>
          <w:sz w:val="32"/>
          <w:szCs w:val="32"/>
          <w:highlight w:val="none"/>
        </w:rPr>
      </w:pPr>
      <w:r>
        <w:rPr>
          <w:rFonts w:ascii="宋体"/>
          <w:b/>
          <w:color w:val="auto"/>
          <w:sz w:val="32"/>
          <w:szCs w:val="32"/>
          <w:highlight w:val="none"/>
        </w:rPr>
        <w:br w:type="page"/>
      </w:r>
    </w:p>
    <w:p w14:paraId="33D565B7">
      <w:pPr>
        <w:numPr>
          <w:ilvl w:val="0"/>
          <w:numId w:val="1"/>
        </w:numPr>
        <w:snapToGrid w:val="0"/>
        <w:spacing w:line="400" w:lineRule="exact"/>
        <w:ind w:firstLine="643" w:firstLineChars="200"/>
        <w:jc w:val="center"/>
        <w:rPr>
          <w:rFonts w:ascii="宋体"/>
          <w:b/>
          <w:color w:val="auto"/>
          <w:sz w:val="32"/>
          <w:szCs w:val="32"/>
          <w:highlight w:val="none"/>
        </w:rPr>
        <w:sectPr>
          <w:pgSz w:w="11906" w:h="16838"/>
          <w:pgMar w:top="1440" w:right="1800" w:bottom="1440" w:left="1800" w:header="851" w:footer="992" w:gutter="0"/>
          <w:cols w:space="720" w:num="1"/>
          <w:docGrid w:type="lines" w:linePitch="312" w:charSpace="0"/>
        </w:sectPr>
      </w:pPr>
    </w:p>
    <w:p w14:paraId="666740AA">
      <w:pPr>
        <w:spacing w:line="240" w:lineRule="auto"/>
        <w:jc w:val="center"/>
        <w:outlineLvl w:val="0"/>
        <w:rPr>
          <w:rFonts w:ascii="宋体" w:hAnsi="宋体"/>
          <w:b/>
          <w:bCs/>
          <w:color w:val="auto"/>
          <w:sz w:val="32"/>
          <w:highlight w:val="none"/>
        </w:rPr>
      </w:pPr>
      <w:bookmarkStart w:id="78" w:name="_Toc30160"/>
      <w:r>
        <w:rPr>
          <w:rFonts w:hint="eastAsia" w:ascii="宋体" w:hAnsi="宋体"/>
          <w:b/>
          <w:bCs/>
          <w:color w:val="auto"/>
          <w:sz w:val="32"/>
          <w:highlight w:val="none"/>
        </w:rPr>
        <w:t>第四章  采购需求及要求</w:t>
      </w:r>
      <w:bookmarkEnd w:id="78"/>
    </w:p>
    <w:bookmarkEnd w:id="71"/>
    <w:p w14:paraId="321FCD75">
      <w:pPr>
        <w:spacing w:line="440" w:lineRule="exact"/>
        <w:ind w:firstLine="422" w:firstLineChars="200"/>
        <w:rPr>
          <w:rFonts w:ascii="宋体" w:hAnsi="宋体"/>
          <w:b/>
          <w:bCs/>
          <w:highlight w:val="none"/>
        </w:rPr>
      </w:pPr>
      <w:r>
        <w:rPr>
          <w:rFonts w:hint="eastAsia" w:ascii="宋体" w:hAnsi="宋体"/>
          <w:b/>
          <w:bCs/>
          <w:highlight w:val="none"/>
        </w:rPr>
        <w:t>一、项目概况</w:t>
      </w:r>
    </w:p>
    <w:p w14:paraId="3AD02EB9">
      <w:pPr>
        <w:spacing w:line="440" w:lineRule="exact"/>
        <w:ind w:firstLine="420" w:firstLineChars="200"/>
        <w:rPr>
          <w:rFonts w:ascii="宋体" w:hAnsi="宋体"/>
          <w:highlight w:val="none"/>
        </w:rPr>
      </w:pPr>
      <w:r>
        <w:rPr>
          <w:rFonts w:hint="eastAsia" w:ascii="宋体" w:hAnsi="宋体"/>
          <w:highlight w:val="none"/>
        </w:rPr>
        <w:t>1、采购标的：合肥庐阳国有资</w:t>
      </w:r>
      <w:r>
        <w:rPr>
          <w:rFonts w:hint="eastAsia" w:ascii="宋体" w:hAnsi="宋体"/>
          <w:highlight w:val="none"/>
          <w:lang w:val="en-US" w:eastAsia="zh-CN"/>
        </w:rPr>
        <w:t>本</w:t>
      </w:r>
      <w:r>
        <w:rPr>
          <w:rFonts w:hint="eastAsia" w:ascii="宋体" w:hAnsi="宋体"/>
          <w:highlight w:val="none"/>
        </w:rPr>
        <w:t>控股集团有限公司主体评级。</w:t>
      </w:r>
    </w:p>
    <w:p w14:paraId="3DDF1C22">
      <w:pPr>
        <w:spacing w:line="440" w:lineRule="exact"/>
        <w:ind w:firstLine="420" w:firstLineChars="200"/>
        <w:rPr>
          <w:rFonts w:ascii="宋体" w:hAnsi="宋体"/>
          <w:highlight w:val="none"/>
        </w:rPr>
      </w:pPr>
      <w:r>
        <w:rPr>
          <w:rFonts w:hint="eastAsia" w:ascii="宋体" w:hAnsi="宋体"/>
          <w:highlight w:val="none"/>
        </w:rPr>
        <w:t>2、服务期限：</w:t>
      </w:r>
      <w:r>
        <w:rPr>
          <w:rFonts w:hint="eastAsia" w:cs="Times New Roman"/>
          <w:color w:val="auto"/>
          <w:highlight w:val="none"/>
          <w:lang w:eastAsia="zh-CN"/>
        </w:rPr>
        <w:t>自合同签订之日起</w:t>
      </w:r>
      <w:r>
        <w:rPr>
          <w:rFonts w:hint="eastAsia" w:cs="Times New Roman"/>
          <w:color w:val="auto"/>
          <w:highlight w:val="none"/>
          <w:lang w:val="en-US" w:eastAsia="zh-CN"/>
        </w:rPr>
        <w:t>70</w:t>
      </w:r>
      <w:r>
        <w:rPr>
          <w:rFonts w:hint="eastAsia" w:cs="Times New Roman"/>
          <w:color w:val="auto"/>
          <w:highlight w:val="none"/>
          <w:lang w:eastAsia="zh-CN"/>
        </w:rPr>
        <w:t>个日历日内完成信用评级工作。</w:t>
      </w:r>
    </w:p>
    <w:p w14:paraId="1E97FA89">
      <w:pPr>
        <w:spacing w:line="440" w:lineRule="exact"/>
        <w:ind w:firstLine="422" w:firstLineChars="200"/>
        <w:rPr>
          <w:rFonts w:ascii="宋体" w:hAnsi="宋体"/>
          <w:b/>
          <w:bCs/>
          <w:highlight w:val="none"/>
        </w:rPr>
      </w:pPr>
      <w:r>
        <w:rPr>
          <w:rFonts w:hint="eastAsia" w:ascii="宋体" w:hAnsi="宋体"/>
          <w:b/>
          <w:bCs/>
          <w:highlight w:val="none"/>
        </w:rPr>
        <w:t>二、资信评级机构服务范围</w:t>
      </w:r>
    </w:p>
    <w:p w14:paraId="590B9C2D">
      <w:pPr>
        <w:spacing w:line="440" w:lineRule="exact"/>
        <w:ind w:firstLine="420" w:firstLineChars="200"/>
        <w:rPr>
          <w:rFonts w:ascii="宋体" w:hAnsi="宋体"/>
          <w:highlight w:val="none"/>
        </w:rPr>
      </w:pPr>
      <w:r>
        <w:rPr>
          <w:rFonts w:hint="eastAsia" w:ascii="宋体" w:hAnsi="宋体"/>
          <w:highlight w:val="none"/>
        </w:rPr>
        <w:t>本项目实施过程中，资信评级机构应有充足的人力投入工作，并采取最有效、最迅捷并且对公司日常经营管理活动产生最小影响的工作方式。评级机构应及时、高质量地提供相应服务。具体工作包括但不限于：</w:t>
      </w:r>
    </w:p>
    <w:p w14:paraId="0D0A28EA">
      <w:pPr>
        <w:spacing w:line="440" w:lineRule="exact"/>
        <w:ind w:firstLine="420" w:firstLineChars="200"/>
        <w:rPr>
          <w:rFonts w:ascii="宋体" w:hAnsi="宋体"/>
          <w:highlight w:val="none"/>
        </w:rPr>
      </w:pPr>
      <w:r>
        <w:rPr>
          <w:rFonts w:hint="eastAsia" w:ascii="宋体" w:hAnsi="宋体"/>
          <w:highlight w:val="none"/>
        </w:rPr>
        <w:t>1、对公司开展资信评级服务并为公司发行项目出具评级报告，并按照相关监管规定出具跟踪评级报告；</w:t>
      </w:r>
    </w:p>
    <w:p w14:paraId="72246524">
      <w:pPr>
        <w:spacing w:line="440" w:lineRule="exact"/>
        <w:ind w:firstLine="420" w:firstLineChars="200"/>
        <w:rPr>
          <w:rFonts w:ascii="宋体" w:hAnsi="宋体"/>
          <w:highlight w:val="none"/>
        </w:rPr>
      </w:pPr>
      <w:r>
        <w:rPr>
          <w:rFonts w:hint="eastAsia" w:ascii="宋体" w:hAnsi="宋体"/>
          <w:highlight w:val="none"/>
        </w:rPr>
        <w:t>2、国家法律法规或相关监管部门规定及公司安排的涉及本次项目资信评级的其他工作。</w:t>
      </w:r>
    </w:p>
    <w:p w14:paraId="018A6AD1">
      <w:pPr>
        <w:spacing w:line="440" w:lineRule="exact"/>
        <w:ind w:firstLine="422" w:firstLineChars="200"/>
        <w:rPr>
          <w:rFonts w:ascii="宋体" w:hAnsi="宋体"/>
          <w:b/>
          <w:bCs/>
          <w:highlight w:val="none"/>
        </w:rPr>
      </w:pPr>
      <w:r>
        <w:rPr>
          <w:rFonts w:hint="eastAsia" w:ascii="宋体" w:hAnsi="宋体"/>
          <w:b/>
          <w:bCs/>
          <w:highlight w:val="none"/>
        </w:rPr>
        <w:t>三、服务质量要求</w:t>
      </w:r>
    </w:p>
    <w:p w14:paraId="706E3B91">
      <w:pPr>
        <w:spacing w:line="440" w:lineRule="exact"/>
        <w:ind w:firstLine="420" w:firstLineChars="200"/>
        <w:rPr>
          <w:rFonts w:ascii="宋体" w:hAnsi="宋体"/>
          <w:highlight w:val="none"/>
        </w:rPr>
      </w:pPr>
      <w:r>
        <w:rPr>
          <w:rFonts w:hint="eastAsia" w:ascii="宋体" w:hAnsi="宋体"/>
          <w:highlight w:val="none"/>
        </w:rPr>
        <w:t>1、服务包括主体评级及跟踪评级。</w:t>
      </w:r>
    </w:p>
    <w:p w14:paraId="44107C26">
      <w:pPr>
        <w:spacing w:line="440" w:lineRule="exact"/>
        <w:ind w:firstLine="420" w:firstLineChars="200"/>
        <w:rPr>
          <w:rFonts w:ascii="宋体" w:hAnsi="宋体"/>
          <w:highlight w:val="none"/>
        </w:rPr>
      </w:pPr>
      <w:r>
        <w:rPr>
          <w:rFonts w:hint="eastAsia" w:ascii="宋体" w:hAnsi="宋体"/>
          <w:highlight w:val="none"/>
        </w:rPr>
        <w:t>2、确保评级报告按时、按量、按质出具。</w:t>
      </w:r>
    </w:p>
    <w:p w14:paraId="6B82E861">
      <w:pPr>
        <w:spacing w:line="440" w:lineRule="exact"/>
        <w:ind w:firstLine="420" w:firstLineChars="200"/>
        <w:rPr>
          <w:rFonts w:ascii="宋体" w:hAnsi="宋体"/>
          <w:highlight w:val="none"/>
        </w:rPr>
      </w:pPr>
      <w:r>
        <w:rPr>
          <w:rFonts w:hint="eastAsia" w:ascii="宋体" w:hAnsi="宋体"/>
          <w:highlight w:val="none"/>
        </w:rPr>
        <w:t>3、中标人须保证评级活动能如质如期地完成。</w:t>
      </w:r>
    </w:p>
    <w:p w14:paraId="12A2F246">
      <w:pPr>
        <w:spacing w:line="440" w:lineRule="exact"/>
        <w:ind w:firstLine="422" w:firstLineChars="200"/>
        <w:rPr>
          <w:rFonts w:ascii="宋体" w:hAnsi="宋体"/>
          <w:b/>
          <w:bCs/>
          <w:highlight w:val="none"/>
        </w:rPr>
      </w:pPr>
      <w:r>
        <w:rPr>
          <w:rFonts w:hint="eastAsia" w:ascii="宋体" w:hAnsi="宋体"/>
          <w:b/>
          <w:bCs/>
          <w:highlight w:val="none"/>
        </w:rPr>
        <w:t>四、服务期限</w:t>
      </w:r>
    </w:p>
    <w:p w14:paraId="5199245E">
      <w:pPr>
        <w:spacing w:line="440" w:lineRule="exact"/>
        <w:ind w:firstLine="420" w:firstLineChars="200"/>
        <w:rPr>
          <w:rFonts w:ascii="宋体" w:hAnsi="宋体"/>
          <w:highlight w:val="none"/>
        </w:rPr>
      </w:pPr>
      <w:r>
        <w:rPr>
          <w:rFonts w:hint="eastAsia" w:ascii="宋体" w:hAnsi="宋体"/>
          <w:highlight w:val="none"/>
        </w:rPr>
        <w:t>服务期限为合同生效之日起至本项目服务结束为止或采购人终止本项目为止，服务协议签订后不迟于</w:t>
      </w:r>
      <w:r>
        <w:rPr>
          <w:rFonts w:hint="eastAsia" w:ascii="宋体" w:hAnsi="宋体"/>
          <w:highlight w:val="none"/>
          <w:lang w:val="en-US" w:eastAsia="zh-CN"/>
        </w:rPr>
        <w:t>60</w:t>
      </w:r>
      <w:r>
        <w:rPr>
          <w:rFonts w:hint="eastAsia" w:ascii="宋体" w:hAnsi="宋体"/>
          <w:highlight w:val="none"/>
        </w:rPr>
        <w:t>个自然日反馈评级结果（不包括复评时间），并出具主体评级报告。</w:t>
      </w:r>
    </w:p>
    <w:p w14:paraId="78F21D79">
      <w:pPr>
        <w:spacing w:line="440" w:lineRule="exact"/>
        <w:ind w:firstLine="422" w:firstLineChars="200"/>
        <w:rPr>
          <w:rFonts w:ascii="宋体" w:hAnsi="宋体"/>
          <w:b/>
          <w:bCs/>
          <w:highlight w:val="none"/>
        </w:rPr>
      </w:pPr>
      <w:r>
        <w:rPr>
          <w:rFonts w:hint="eastAsia" w:ascii="宋体" w:hAnsi="宋体"/>
          <w:b/>
          <w:bCs/>
          <w:highlight w:val="none"/>
        </w:rPr>
        <w:t>五、合同金额及付款方式</w:t>
      </w:r>
    </w:p>
    <w:p w14:paraId="65CF511F">
      <w:pPr>
        <w:spacing w:line="440" w:lineRule="exact"/>
        <w:ind w:firstLine="420" w:firstLineChars="200"/>
        <w:rPr>
          <w:rFonts w:hint="eastAsia" w:ascii="宋体" w:hAnsi="宋体" w:eastAsia="宋体"/>
          <w:highlight w:val="none"/>
          <w:lang w:val="en-US" w:eastAsia="zh-CN"/>
        </w:rPr>
      </w:pPr>
      <w:r>
        <w:rPr>
          <w:rFonts w:hint="eastAsia" w:ascii="宋体" w:hAnsi="宋体"/>
          <w:highlight w:val="none"/>
        </w:rPr>
        <w:t>1、合同金额：</w:t>
      </w:r>
      <w:r>
        <w:rPr>
          <w:rFonts w:hint="eastAsia" w:ascii="宋体" w:hAnsi="宋体"/>
          <w:highlight w:val="none"/>
          <w:lang w:eastAsia="zh-CN"/>
        </w:rPr>
        <w:t>不超过</w:t>
      </w:r>
      <w:r>
        <w:rPr>
          <w:rFonts w:hint="eastAsia" w:ascii="宋体" w:hAnsi="宋体"/>
          <w:highlight w:val="none"/>
        </w:rPr>
        <w:t>25万元，总价</w:t>
      </w:r>
      <w:r>
        <w:rPr>
          <w:rFonts w:hint="eastAsia" w:ascii="宋体" w:hAnsi="宋体"/>
          <w:highlight w:val="none"/>
          <w:lang w:eastAsia="zh-CN"/>
        </w:rPr>
        <w:t>报价。</w:t>
      </w:r>
    </w:p>
    <w:p w14:paraId="2FD2BA62">
      <w:pPr>
        <w:spacing w:line="440" w:lineRule="exact"/>
        <w:ind w:firstLine="420" w:firstLineChars="200"/>
        <w:rPr>
          <w:rFonts w:ascii="宋体" w:hAnsi="宋体"/>
          <w:highlight w:val="none"/>
        </w:rPr>
      </w:pPr>
      <w:r>
        <w:rPr>
          <w:rFonts w:hint="eastAsia" w:ascii="宋体" w:hAnsi="宋体"/>
          <w:highlight w:val="none"/>
        </w:rPr>
        <w:t>2、付款方式：评级费用的支付方式为在项目启动前由甲方-次性付清；中标单位必须提供6%增值税专用发票。</w:t>
      </w:r>
    </w:p>
    <w:p w14:paraId="67E4D160">
      <w:pPr>
        <w:spacing w:line="440" w:lineRule="exact"/>
        <w:ind w:firstLine="422" w:firstLineChars="200"/>
        <w:rPr>
          <w:rFonts w:ascii="宋体" w:hAnsi="宋体"/>
          <w:b/>
          <w:bCs/>
          <w:highlight w:val="none"/>
        </w:rPr>
      </w:pPr>
      <w:r>
        <w:rPr>
          <w:rFonts w:hint="eastAsia" w:ascii="宋体" w:hAnsi="宋体"/>
          <w:b/>
          <w:bCs/>
          <w:highlight w:val="none"/>
        </w:rPr>
        <w:t>六、其他要求及说明</w:t>
      </w:r>
    </w:p>
    <w:p w14:paraId="1188A105">
      <w:pPr>
        <w:spacing w:line="440" w:lineRule="exact"/>
        <w:ind w:firstLine="420" w:firstLineChars="200"/>
        <w:rPr>
          <w:rFonts w:ascii="宋体" w:hAnsi="宋体"/>
          <w:highlight w:val="none"/>
        </w:rPr>
      </w:pPr>
      <w:r>
        <w:rPr>
          <w:rFonts w:hint="eastAsia" w:ascii="宋体" w:hAnsi="宋体"/>
          <w:highlight w:val="none"/>
        </w:rPr>
        <w:t>1、实地地点：招标人指定地点</w:t>
      </w:r>
    </w:p>
    <w:p w14:paraId="00DC758C">
      <w:pPr>
        <w:spacing w:line="440" w:lineRule="exact"/>
        <w:ind w:firstLine="420" w:firstLineChars="200"/>
        <w:rPr>
          <w:rFonts w:hint="eastAsia" w:ascii="宋体" w:hAnsi="宋体"/>
          <w:highlight w:val="none"/>
        </w:rPr>
      </w:pPr>
      <w:r>
        <w:rPr>
          <w:rFonts w:hint="eastAsia" w:ascii="宋体" w:hAnsi="宋体"/>
          <w:highlight w:val="none"/>
        </w:rPr>
        <w:t>2、服务期限内，成交投标人应无条件积极配合采购人的相关发债工作，组织专业团队，专人负责完成项目评级工作。项目团队职责分工明确、合理，团队人员应包含具有丰富的类似项目评级经验的专业人员。</w:t>
      </w:r>
    </w:p>
    <w:p w14:paraId="3D225162">
      <w:pPr>
        <w:spacing w:line="440" w:lineRule="exact"/>
        <w:ind w:firstLine="420" w:firstLineChars="200"/>
        <w:rPr>
          <w:rFonts w:hint="eastAsia" w:ascii="宋体" w:hAnsi="宋体"/>
          <w:highlight w:val="none"/>
        </w:rPr>
      </w:pPr>
      <w:r>
        <w:rPr>
          <w:rFonts w:hint="eastAsia" w:ascii="宋体" w:hAnsi="宋体"/>
          <w:highlight w:val="none"/>
        </w:rPr>
        <w:t>3、若因中标人自身原因，导致评级工作无法正常开展、评级报告不符合合同约定及行业规范要求，或未按约定时间完成评级服务的，招标人有权要求中标人退还已支付的全部服务费用，并承担相应的违约责任。</w:t>
      </w:r>
    </w:p>
    <w:p w14:paraId="4BE76355">
      <w:pPr>
        <w:spacing w:line="440" w:lineRule="exact"/>
        <w:ind w:firstLine="420" w:firstLineChars="200"/>
        <w:rPr>
          <w:rFonts w:ascii="宋体" w:hAnsi="宋体"/>
          <w:highlight w:val="none"/>
        </w:rPr>
      </w:pPr>
      <w:r>
        <w:rPr>
          <w:rFonts w:hint="eastAsia" w:ascii="宋体" w:hAnsi="宋体"/>
          <w:highlight w:val="none"/>
        </w:rPr>
        <w:t>4、在年度信用评级报告有效期内，若需进行报告更新（不超过行业规范约定的次数），相关更新费用已包含在本次全部服务费用中，中标人不得额外收取任何费用。</w:t>
      </w:r>
    </w:p>
    <w:p w14:paraId="0112F76B">
      <w:pPr>
        <w:pStyle w:val="25"/>
        <w:ind w:firstLine="420"/>
        <w:rPr>
          <w:highlight w:val="none"/>
        </w:rPr>
      </w:pPr>
    </w:p>
    <w:p w14:paraId="1F4BBB82">
      <w:pPr>
        <w:spacing w:line="440" w:lineRule="exact"/>
        <w:rPr>
          <w:rFonts w:ascii="宋体" w:hAnsi="宋体"/>
          <w:color w:val="auto"/>
          <w:szCs w:val="22"/>
          <w:highlight w:val="none"/>
        </w:rPr>
      </w:pPr>
      <w:r>
        <w:rPr>
          <w:rFonts w:ascii="宋体" w:hAnsi="宋体"/>
          <w:color w:val="auto"/>
          <w:szCs w:val="22"/>
          <w:highlight w:val="none"/>
        </w:rPr>
        <w:br w:type="page"/>
      </w:r>
    </w:p>
    <w:p w14:paraId="6239E709">
      <w:pPr>
        <w:pStyle w:val="25"/>
        <w:ind w:firstLine="420"/>
        <w:rPr>
          <w:highlight w:val="none"/>
        </w:rPr>
      </w:pPr>
    </w:p>
    <w:p w14:paraId="0D50B2C0">
      <w:pPr>
        <w:spacing w:line="240" w:lineRule="auto"/>
        <w:jc w:val="center"/>
        <w:outlineLvl w:val="0"/>
        <w:rPr>
          <w:rFonts w:ascii="宋体" w:hAnsi="宋体"/>
          <w:b/>
          <w:bCs/>
          <w:color w:val="auto"/>
          <w:sz w:val="32"/>
          <w:highlight w:val="none"/>
        </w:rPr>
      </w:pPr>
      <w:bookmarkStart w:id="79" w:name="_Toc14867"/>
      <w:r>
        <w:rPr>
          <w:rFonts w:hint="eastAsia" w:ascii="宋体" w:hAnsi="宋体"/>
          <w:b/>
          <w:bCs/>
          <w:color w:val="auto"/>
          <w:sz w:val="32"/>
          <w:highlight w:val="none"/>
        </w:rPr>
        <w:t>第五章  投标文件格式</w:t>
      </w:r>
      <w:bookmarkEnd w:id="79"/>
    </w:p>
    <w:p w14:paraId="54AED584">
      <w:pPr>
        <w:jc w:val="right"/>
        <w:rPr>
          <w:rFonts w:ascii="宋体" w:hAnsi="宋体"/>
          <w:color w:val="auto"/>
          <w:sz w:val="28"/>
          <w:szCs w:val="28"/>
          <w:highlight w:val="none"/>
          <w:bdr w:val="single" w:color="auto" w:sz="4" w:space="0"/>
        </w:rPr>
      </w:pPr>
      <w:r>
        <w:rPr>
          <w:rFonts w:hint="eastAsia" w:ascii="宋体" w:hAnsi="宋体"/>
          <w:color w:val="auto"/>
          <w:sz w:val="28"/>
          <w:szCs w:val="28"/>
          <w:highlight w:val="none"/>
          <w:bdr w:val="single" w:color="auto" w:sz="4" w:space="0"/>
        </w:rPr>
        <w:t>注明正本或副本</w:t>
      </w:r>
    </w:p>
    <w:p w14:paraId="0FB15AE5">
      <w:pPr>
        <w:jc w:val="center"/>
        <w:rPr>
          <w:rFonts w:ascii="宋体" w:hAnsi="宋体"/>
          <w:color w:val="auto"/>
          <w:sz w:val="20"/>
          <w:highlight w:val="none"/>
        </w:rPr>
      </w:pPr>
    </w:p>
    <w:p w14:paraId="0B431F68">
      <w:pPr>
        <w:rPr>
          <w:rFonts w:ascii="宋体" w:hAnsi="宋体"/>
          <w:color w:val="auto"/>
          <w:sz w:val="20"/>
          <w:highlight w:val="none"/>
        </w:rPr>
      </w:pPr>
    </w:p>
    <w:p w14:paraId="03C0DDB4">
      <w:pPr>
        <w:jc w:val="center"/>
        <w:rPr>
          <w:rFonts w:ascii="宋体" w:hAnsi="宋体"/>
          <w:b/>
          <w:color w:val="auto"/>
          <w:sz w:val="44"/>
          <w:szCs w:val="44"/>
          <w:highlight w:val="none"/>
        </w:rPr>
      </w:pPr>
      <w:r>
        <w:rPr>
          <w:rFonts w:hint="eastAsia" w:ascii="宋体" w:hAnsi="宋体"/>
          <w:b/>
          <w:color w:val="auto"/>
          <w:sz w:val="44"/>
          <w:szCs w:val="44"/>
          <w:highlight w:val="none"/>
        </w:rPr>
        <w:t>投标文件</w:t>
      </w:r>
    </w:p>
    <w:p w14:paraId="30FD29D9">
      <w:pPr>
        <w:jc w:val="center"/>
        <w:rPr>
          <w:rFonts w:ascii="宋体" w:hAnsi="宋体"/>
          <w:color w:val="auto"/>
          <w:sz w:val="32"/>
          <w:szCs w:val="32"/>
          <w:highlight w:val="none"/>
        </w:rPr>
      </w:pPr>
    </w:p>
    <w:p w14:paraId="07158917">
      <w:pPr>
        <w:jc w:val="center"/>
        <w:rPr>
          <w:rFonts w:ascii="宋体" w:hAnsi="宋体"/>
          <w:color w:val="auto"/>
          <w:sz w:val="44"/>
          <w:szCs w:val="44"/>
          <w:highlight w:val="none"/>
        </w:rPr>
      </w:pPr>
    </w:p>
    <w:p w14:paraId="246880C9">
      <w:pPr>
        <w:jc w:val="center"/>
        <w:rPr>
          <w:rFonts w:ascii="宋体" w:hAnsi="宋体"/>
          <w:color w:val="auto"/>
          <w:sz w:val="32"/>
          <w:szCs w:val="32"/>
          <w:highlight w:val="none"/>
        </w:rPr>
      </w:pPr>
      <w:r>
        <w:rPr>
          <w:rFonts w:hint="eastAsia" w:ascii="宋体" w:hAnsi="宋体"/>
          <w:color w:val="auto"/>
          <w:sz w:val="32"/>
          <w:szCs w:val="32"/>
          <w:highlight w:val="none"/>
          <w:u w:val="single"/>
        </w:rPr>
        <w:t xml:space="preserve">        </w:t>
      </w:r>
      <w:r>
        <w:rPr>
          <w:rFonts w:ascii="宋体" w:hAnsi="宋体"/>
          <w:color w:val="auto"/>
          <w:sz w:val="32"/>
          <w:szCs w:val="32"/>
          <w:highlight w:val="none"/>
        </w:rPr>
        <w:t>项目名称</w:t>
      </w:r>
    </w:p>
    <w:p w14:paraId="135CBF26">
      <w:pPr>
        <w:rPr>
          <w:rFonts w:ascii="宋体" w:hAnsi="宋体"/>
          <w:color w:val="auto"/>
          <w:sz w:val="28"/>
          <w:szCs w:val="28"/>
          <w:highlight w:val="none"/>
        </w:rPr>
      </w:pPr>
      <w:r>
        <w:rPr>
          <w:rFonts w:hint="eastAsia" w:ascii="宋体" w:hAnsi="宋体"/>
          <w:color w:val="auto"/>
          <w:sz w:val="28"/>
          <w:szCs w:val="28"/>
          <w:highlight w:val="none"/>
        </w:rPr>
        <w:t xml:space="preserve"> </w:t>
      </w:r>
    </w:p>
    <w:p w14:paraId="6A9B32B8">
      <w:pPr>
        <w:rPr>
          <w:rFonts w:ascii="宋体" w:hAnsi="宋体"/>
          <w:color w:val="auto"/>
          <w:sz w:val="28"/>
          <w:szCs w:val="28"/>
          <w:highlight w:val="none"/>
        </w:rPr>
      </w:pPr>
    </w:p>
    <w:p w14:paraId="1F0B0B38">
      <w:pPr>
        <w:rPr>
          <w:rFonts w:ascii="宋体" w:hAnsi="宋体"/>
          <w:color w:val="auto"/>
          <w:sz w:val="28"/>
          <w:szCs w:val="28"/>
          <w:highlight w:val="none"/>
        </w:rPr>
      </w:pPr>
    </w:p>
    <w:p w14:paraId="7A9C7AA5">
      <w:pPr>
        <w:rPr>
          <w:rFonts w:ascii="宋体" w:hAnsi="宋体"/>
          <w:color w:val="auto"/>
          <w:sz w:val="28"/>
          <w:szCs w:val="28"/>
          <w:highlight w:val="none"/>
        </w:rPr>
      </w:pPr>
    </w:p>
    <w:p w14:paraId="02BC5BCB">
      <w:pPr>
        <w:rPr>
          <w:rFonts w:ascii="宋体" w:hAnsi="宋体"/>
          <w:color w:val="auto"/>
          <w:sz w:val="28"/>
          <w:szCs w:val="28"/>
          <w:highlight w:val="none"/>
        </w:rPr>
      </w:pPr>
    </w:p>
    <w:p w14:paraId="4A7E13E7">
      <w:pPr>
        <w:rPr>
          <w:rFonts w:ascii="宋体" w:hAnsi="宋体"/>
          <w:color w:val="auto"/>
          <w:sz w:val="28"/>
          <w:szCs w:val="28"/>
          <w:highlight w:val="none"/>
        </w:rPr>
      </w:pPr>
    </w:p>
    <w:p w14:paraId="042F9FD2">
      <w:pPr>
        <w:rPr>
          <w:rFonts w:ascii="宋体" w:hAnsi="宋体"/>
          <w:color w:val="auto"/>
          <w:sz w:val="28"/>
          <w:szCs w:val="28"/>
          <w:highlight w:val="none"/>
        </w:rPr>
      </w:pPr>
    </w:p>
    <w:p w14:paraId="360496C7">
      <w:pPr>
        <w:rPr>
          <w:rFonts w:ascii="宋体" w:hAnsi="宋体"/>
          <w:color w:val="auto"/>
          <w:sz w:val="28"/>
          <w:szCs w:val="28"/>
          <w:highlight w:val="none"/>
        </w:rPr>
      </w:pPr>
    </w:p>
    <w:p w14:paraId="474BED1E">
      <w:pPr>
        <w:rPr>
          <w:rFonts w:ascii="宋体" w:hAnsi="宋体"/>
          <w:color w:val="auto"/>
          <w:sz w:val="28"/>
          <w:szCs w:val="28"/>
          <w:highlight w:val="none"/>
        </w:rPr>
      </w:pPr>
    </w:p>
    <w:p w14:paraId="56910803">
      <w:pPr>
        <w:jc w:val="center"/>
        <w:rPr>
          <w:rFonts w:ascii="宋体" w:hAnsi="宋体"/>
          <w:color w:val="auto"/>
          <w:sz w:val="28"/>
          <w:szCs w:val="28"/>
          <w:highlight w:val="none"/>
          <w:u w:val="single"/>
        </w:rPr>
      </w:pPr>
      <w:r>
        <w:rPr>
          <w:rFonts w:ascii="宋体" w:hAnsi="宋体"/>
          <w:color w:val="auto"/>
          <w:sz w:val="28"/>
          <w:szCs w:val="28"/>
          <w:highlight w:val="none"/>
        </w:rPr>
        <w:t>投标人：</w:t>
      </w:r>
      <w:r>
        <w:rPr>
          <w:rFonts w:ascii="宋体" w:hAnsi="宋体"/>
          <w:color w:val="auto"/>
          <w:sz w:val="28"/>
          <w:szCs w:val="28"/>
          <w:highlight w:val="none"/>
          <w:u w:val="single"/>
        </w:rPr>
        <w:t xml:space="preserve">                     </w:t>
      </w:r>
      <w:r>
        <w:rPr>
          <w:rFonts w:hint="eastAsia" w:ascii="宋体" w:hAnsi="宋体"/>
          <w:color w:val="auto"/>
          <w:sz w:val="28"/>
          <w:szCs w:val="28"/>
          <w:highlight w:val="none"/>
          <w:u w:val="single"/>
        </w:rPr>
        <w:t xml:space="preserve">  </w:t>
      </w:r>
      <w:r>
        <w:rPr>
          <w:rFonts w:ascii="宋体" w:hAnsi="宋体"/>
          <w:color w:val="auto"/>
          <w:sz w:val="28"/>
          <w:szCs w:val="28"/>
          <w:highlight w:val="none"/>
          <w:u w:val="single"/>
        </w:rPr>
        <w:t xml:space="preserve">       </w:t>
      </w:r>
      <w:r>
        <w:rPr>
          <w:rFonts w:ascii="宋体" w:hAnsi="宋体"/>
          <w:color w:val="auto"/>
          <w:sz w:val="28"/>
          <w:szCs w:val="28"/>
          <w:highlight w:val="none"/>
        </w:rPr>
        <w:t>（盖单位章）</w:t>
      </w:r>
    </w:p>
    <w:p w14:paraId="5B2C0EEC">
      <w:pPr>
        <w:jc w:val="center"/>
        <w:rPr>
          <w:rFonts w:ascii="宋体" w:hAnsi="宋体"/>
          <w:color w:val="auto"/>
          <w:sz w:val="28"/>
          <w:szCs w:val="28"/>
          <w:highlight w:val="none"/>
        </w:rPr>
      </w:pPr>
      <w:r>
        <w:rPr>
          <w:rFonts w:ascii="宋体" w:hAnsi="宋体"/>
          <w:color w:val="auto"/>
          <w:sz w:val="28"/>
          <w:szCs w:val="28"/>
          <w:highlight w:val="none"/>
        </w:rPr>
        <w:t>法定代表人或其委托代理人：</w:t>
      </w:r>
      <w:r>
        <w:rPr>
          <w:rFonts w:ascii="宋体" w:hAnsi="宋体"/>
          <w:color w:val="auto"/>
          <w:sz w:val="28"/>
          <w:szCs w:val="28"/>
          <w:highlight w:val="none"/>
          <w:u w:val="single"/>
        </w:rPr>
        <w:t xml:space="preserve">                </w:t>
      </w:r>
      <w:r>
        <w:rPr>
          <w:rFonts w:ascii="宋体" w:hAnsi="宋体"/>
          <w:color w:val="auto"/>
          <w:sz w:val="28"/>
          <w:szCs w:val="28"/>
          <w:highlight w:val="none"/>
        </w:rPr>
        <w:t>（签字</w:t>
      </w:r>
      <w:r>
        <w:rPr>
          <w:rFonts w:hint="eastAsia" w:ascii="宋体" w:hAnsi="宋体"/>
          <w:color w:val="auto"/>
          <w:sz w:val="28"/>
          <w:szCs w:val="28"/>
          <w:highlight w:val="none"/>
        </w:rPr>
        <w:t>或盖章</w:t>
      </w:r>
      <w:r>
        <w:rPr>
          <w:rFonts w:ascii="宋体" w:hAnsi="宋体"/>
          <w:color w:val="auto"/>
          <w:sz w:val="28"/>
          <w:szCs w:val="28"/>
          <w:highlight w:val="none"/>
        </w:rPr>
        <w:t>）</w:t>
      </w:r>
    </w:p>
    <w:p w14:paraId="797E6459">
      <w:pPr>
        <w:jc w:val="center"/>
        <w:rPr>
          <w:rFonts w:ascii="宋体" w:hAnsi="宋体"/>
          <w:color w:val="auto"/>
          <w:sz w:val="28"/>
          <w:szCs w:val="28"/>
          <w:highlight w:val="none"/>
        </w:rPr>
      </w:pPr>
      <w:r>
        <w:rPr>
          <w:rFonts w:ascii="宋体" w:hAnsi="宋体"/>
          <w:color w:val="auto"/>
          <w:sz w:val="28"/>
          <w:szCs w:val="28"/>
          <w:highlight w:val="none"/>
          <w:u w:val="single"/>
        </w:rPr>
        <w:t xml:space="preserve">        </w:t>
      </w:r>
      <w:r>
        <w:rPr>
          <w:rFonts w:ascii="宋体" w:hAnsi="宋体"/>
          <w:color w:val="auto"/>
          <w:sz w:val="28"/>
          <w:szCs w:val="28"/>
          <w:highlight w:val="none"/>
        </w:rPr>
        <w:t>年</w:t>
      </w:r>
      <w:r>
        <w:rPr>
          <w:rFonts w:ascii="宋体" w:hAnsi="宋体"/>
          <w:color w:val="auto"/>
          <w:sz w:val="28"/>
          <w:szCs w:val="28"/>
          <w:highlight w:val="none"/>
          <w:u w:val="single"/>
        </w:rPr>
        <w:t xml:space="preserve">        </w:t>
      </w:r>
      <w:r>
        <w:rPr>
          <w:rFonts w:ascii="宋体" w:hAnsi="宋体"/>
          <w:color w:val="auto"/>
          <w:sz w:val="28"/>
          <w:szCs w:val="28"/>
          <w:highlight w:val="none"/>
        </w:rPr>
        <w:t>月</w:t>
      </w:r>
      <w:r>
        <w:rPr>
          <w:rFonts w:ascii="宋体" w:hAnsi="宋体"/>
          <w:color w:val="auto"/>
          <w:sz w:val="28"/>
          <w:szCs w:val="28"/>
          <w:highlight w:val="none"/>
          <w:u w:val="single"/>
        </w:rPr>
        <w:t xml:space="preserve">        </w:t>
      </w:r>
      <w:r>
        <w:rPr>
          <w:rFonts w:ascii="宋体" w:hAnsi="宋体"/>
          <w:color w:val="auto"/>
          <w:sz w:val="28"/>
          <w:szCs w:val="28"/>
          <w:highlight w:val="none"/>
        </w:rPr>
        <w:t>日</w:t>
      </w:r>
    </w:p>
    <w:p w14:paraId="312282E7">
      <w:pPr>
        <w:spacing w:line="400" w:lineRule="exact"/>
        <w:ind w:firstLine="3253" w:firstLineChars="900"/>
        <w:rPr>
          <w:rFonts w:ascii="宋体" w:hAnsi="宋体"/>
          <w:b/>
          <w:color w:val="auto"/>
          <w:sz w:val="36"/>
          <w:szCs w:val="36"/>
          <w:highlight w:val="none"/>
        </w:rPr>
      </w:pPr>
    </w:p>
    <w:p w14:paraId="467AE22E">
      <w:pPr>
        <w:spacing w:line="400" w:lineRule="exact"/>
        <w:ind w:firstLine="3253" w:firstLineChars="900"/>
        <w:rPr>
          <w:rFonts w:ascii="宋体" w:hAnsi="宋体"/>
          <w:b/>
          <w:color w:val="auto"/>
          <w:sz w:val="36"/>
          <w:szCs w:val="36"/>
          <w:highlight w:val="none"/>
        </w:rPr>
      </w:pPr>
    </w:p>
    <w:p w14:paraId="6DB41188">
      <w:pPr>
        <w:rPr>
          <w:rFonts w:ascii="宋体" w:hAnsi="宋体"/>
          <w:b/>
          <w:color w:val="auto"/>
          <w:sz w:val="36"/>
          <w:szCs w:val="36"/>
          <w:highlight w:val="none"/>
        </w:rPr>
      </w:pPr>
      <w:r>
        <w:rPr>
          <w:rFonts w:hint="eastAsia" w:ascii="宋体" w:hAnsi="宋体"/>
          <w:b/>
          <w:color w:val="auto"/>
          <w:sz w:val="36"/>
          <w:szCs w:val="36"/>
          <w:highlight w:val="none"/>
        </w:rPr>
        <w:br w:type="page"/>
      </w:r>
    </w:p>
    <w:p w14:paraId="6EA4E254">
      <w:pPr>
        <w:spacing w:line="400" w:lineRule="exact"/>
        <w:ind w:firstLine="3253" w:firstLineChars="900"/>
        <w:rPr>
          <w:rFonts w:ascii="宋体" w:hAnsi="宋体"/>
          <w:b/>
          <w:color w:val="auto"/>
          <w:sz w:val="36"/>
          <w:szCs w:val="36"/>
          <w:highlight w:val="none"/>
        </w:rPr>
      </w:pPr>
      <w:r>
        <w:rPr>
          <w:rFonts w:hint="eastAsia" w:ascii="宋体" w:hAnsi="宋体"/>
          <w:b/>
          <w:color w:val="auto"/>
          <w:sz w:val="36"/>
          <w:szCs w:val="36"/>
          <w:highlight w:val="none"/>
        </w:rPr>
        <w:t>目   录</w:t>
      </w:r>
    </w:p>
    <w:p w14:paraId="3C4D41D9">
      <w:pPr>
        <w:spacing w:line="400" w:lineRule="exact"/>
        <w:ind w:firstLine="4130" w:firstLineChars="935"/>
        <w:rPr>
          <w:rFonts w:ascii="宋体" w:hAnsi="宋体"/>
          <w:b/>
          <w:color w:val="auto"/>
          <w:sz w:val="44"/>
          <w:szCs w:val="44"/>
          <w:highlight w:val="none"/>
        </w:rPr>
      </w:pPr>
    </w:p>
    <w:p w14:paraId="1EB1501D">
      <w:pPr>
        <w:spacing w:line="480" w:lineRule="exact"/>
        <w:ind w:firstLine="420" w:firstLineChars="200"/>
        <w:rPr>
          <w:rFonts w:ascii="宋体" w:hAnsi="宋体"/>
          <w:bCs/>
          <w:color w:val="auto"/>
          <w:szCs w:val="21"/>
          <w:highlight w:val="none"/>
        </w:rPr>
      </w:pPr>
      <w:r>
        <w:rPr>
          <w:rFonts w:hint="eastAsia" w:ascii="宋体" w:hAnsi="宋体"/>
          <w:bCs/>
          <w:color w:val="auto"/>
          <w:szCs w:val="21"/>
          <w:highlight w:val="none"/>
        </w:rPr>
        <w:t>（1）法定代表人身份证明及其有效身份证复印件（或法定代表授权委托书及其有效身份证复印件）（格式见附件）；</w:t>
      </w:r>
    </w:p>
    <w:p w14:paraId="3D398384">
      <w:pPr>
        <w:spacing w:line="480" w:lineRule="exact"/>
        <w:ind w:firstLine="420" w:firstLineChars="200"/>
        <w:rPr>
          <w:rFonts w:ascii="宋体" w:hAnsi="宋体"/>
          <w:bCs/>
          <w:color w:val="auto"/>
          <w:szCs w:val="21"/>
          <w:highlight w:val="none"/>
        </w:rPr>
      </w:pPr>
      <w:r>
        <w:rPr>
          <w:rFonts w:hint="eastAsia" w:ascii="宋体" w:hAnsi="宋体"/>
          <w:bCs/>
          <w:color w:val="auto"/>
          <w:szCs w:val="21"/>
          <w:highlight w:val="none"/>
        </w:rPr>
        <w:t>（2）诚信投标承诺书（格式见附件）；</w:t>
      </w:r>
    </w:p>
    <w:p w14:paraId="07F4D8DB">
      <w:pPr>
        <w:spacing w:line="480" w:lineRule="exact"/>
        <w:ind w:firstLine="420" w:firstLineChars="200"/>
        <w:rPr>
          <w:rFonts w:ascii="宋体" w:hAnsi="宋体"/>
          <w:bCs/>
          <w:color w:val="auto"/>
          <w:szCs w:val="21"/>
          <w:highlight w:val="none"/>
        </w:rPr>
      </w:pPr>
      <w:r>
        <w:rPr>
          <w:rFonts w:hint="eastAsia" w:ascii="宋体" w:hAnsi="宋体"/>
          <w:bCs/>
          <w:color w:val="auto"/>
          <w:szCs w:val="21"/>
          <w:highlight w:val="none"/>
        </w:rPr>
        <w:t>（3）投标人有效的营业执照；</w:t>
      </w:r>
    </w:p>
    <w:p w14:paraId="6D7A3DF8">
      <w:pPr>
        <w:spacing w:line="480" w:lineRule="exact"/>
        <w:ind w:firstLine="420" w:firstLineChars="200"/>
        <w:rPr>
          <w:rFonts w:ascii="宋体" w:hAnsi="宋体"/>
          <w:bCs/>
          <w:color w:val="auto"/>
          <w:szCs w:val="21"/>
          <w:highlight w:val="none"/>
        </w:rPr>
      </w:pPr>
      <w:r>
        <w:rPr>
          <w:rFonts w:hint="eastAsia" w:ascii="宋体" w:hAnsi="宋体"/>
          <w:bCs/>
          <w:color w:val="auto"/>
          <w:szCs w:val="21"/>
          <w:highlight w:val="none"/>
        </w:rPr>
        <w:t>（4）通过中国证券监督管理委员会备案的证明材料；</w:t>
      </w:r>
    </w:p>
    <w:p w14:paraId="66E48A4B">
      <w:pPr>
        <w:spacing w:line="480" w:lineRule="exact"/>
        <w:ind w:firstLine="420" w:firstLineChars="200"/>
        <w:rPr>
          <w:rFonts w:ascii="宋体" w:hAnsi="宋体"/>
          <w:bCs/>
          <w:color w:val="auto"/>
          <w:szCs w:val="21"/>
          <w:highlight w:val="none"/>
        </w:rPr>
      </w:pPr>
      <w:r>
        <w:rPr>
          <w:rFonts w:hint="eastAsia" w:ascii="宋体" w:hAnsi="宋体"/>
          <w:bCs/>
          <w:color w:val="auto"/>
          <w:szCs w:val="21"/>
          <w:highlight w:val="none"/>
        </w:rPr>
        <w:t>（5）服务承诺书（格式见附件）</w:t>
      </w:r>
    </w:p>
    <w:p w14:paraId="39FC0E7B">
      <w:pPr>
        <w:spacing w:line="480" w:lineRule="exact"/>
        <w:ind w:firstLine="420" w:firstLineChars="200"/>
        <w:rPr>
          <w:rFonts w:ascii="宋体" w:hAnsi="宋体"/>
          <w:bCs/>
          <w:color w:val="auto"/>
          <w:szCs w:val="21"/>
          <w:highlight w:val="none"/>
        </w:rPr>
      </w:pPr>
      <w:r>
        <w:rPr>
          <w:rFonts w:hint="eastAsia" w:ascii="宋体" w:hAnsi="宋体"/>
          <w:bCs/>
          <w:color w:val="auto"/>
          <w:szCs w:val="21"/>
          <w:highlight w:val="none"/>
        </w:rPr>
        <w:t>（6）开标一览表（格式见附件）；</w:t>
      </w:r>
    </w:p>
    <w:p w14:paraId="50904777">
      <w:pPr>
        <w:spacing w:line="480" w:lineRule="exact"/>
        <w:ind w:firstLine="420" w:firstLineChars="200"/>
        <w:rPr>
          <w:rFonts w:ascii="宋体" w:hAnsi="宋体"/>
          <w:bCs/>
          <w:color w:val="auto"/>
          <w:szCs w:val="21"/>
          <w:highlight w:val="none"/>
        </w:rPr>
      </w:pPr>
      <w:r>
        <w:rPr>
          <w:rFonts w:hint="eastAsia" w:ascii="宋体" w:hAnsi="宋体"/>
          <w:bCs/>
          <w:color w:val="auto"/>
          <w:szCs w:val="21"/>
          <w:highlight w:val="none"/>
        </w:rPr>
        <w:t>（7）投标函（格式见附件）</w:t>
      </w:r>
    </w:p>
    <w:p w14:paraId="46BFD2B1">
      <w:pPr>
        <w:spacing w:line="480" w:lineRule="exact"/>
        <w:ind w:firstLine="420" w:firstLineChars="200"/>
        <w:rPr>
          <w:rFonts w:ascii="宋体" w:hAnsi="宋体"/>
          <w:bCs/>
          <w:color w:val="auto"/>
          <w:szCs w:val="21"/>
          <w:highlight w:val="none"/>
        </w:rPr>
      </w:pPr>
      <w:r>
        <w:rPr>
          <w:rFonts w:hint="eastAsia" w:ascii="宋体" w:hAnsi="宋体"/>
          <w:bCs/>
          <w:color w:val="auto"/>
          <w:szCs w:val="21"/>
          <w:highlight w:val="none"/>
        </w:rPr>
        <w:t>（8）招标文件中要求的评分评审所需的证明材料；</w:t>
      </w:r>
    </w:p>
    <w:p w14:paraId="2B786D53">
      <w:pPr>
        <w:spacing w:line="480" w:lineRule="exact"/>
        <w:ind w:firstLine="420" w:firstLineChars="200"/>
        <w:rPr>
          <w:rFonts w:ascii="宋体" w:hAnsi="宋体"/>
          <w:bCs/>
          <w:color w:val="auto"/>
          <w:szCs w:val="21"/>
          <w:highlight w:val="none"/>
        </w:rPr>
      </w:pPr>
      <w:r>
        <w:rPr>
          <w:rFonts w:hint="eastAsia" w:ascii="宋体" w:hAnsi="宋体"/>
          <w:bCs/>
          <w:color w:val="auto"/>
          <w:szCs w:val="21"/>
          <w:highlight w:val="none"/>
        </w:rPr>
        <w:t>（9）投标人认为需要提供的其他证明材料（如有）。</w:t>
      </w:r>
    </w:p>
    <w:p w14:paraId="1B86DFAE">
      <w:pPr>
        <w:spacing w:line="480" w:lineRule="exact"/>
        <w:ind w:firstLine="420" w:firstLineChars="200"/>
        <w:rPr>
          <w:rFonts w:ascii="宋体" w:hAnsi="宋体"/>
          <w:bCs/>
          <w:color w:val="auto"/>
          <w:szCs w:val="21"/>
          <w:highlight w:val="none"/>
        </w:rPr>
      </w:pPr>
    </w:p>
    <w:p w14:paraId="10DBD36A">
      <w:pPr>
        <w:spacing w:line="480" w:lineRule="exact"/>
        <w:ind w:firstLine="632" w:firstLineChars="300"/>
        <w:rPr>
          <w:rFonts w:ascii="宋体" w:hAnsi="宋体" w:cs="宋体"/>
          <w:b/>
          <w:color w:val="auto"/>
          <w:szCs w:val="21"/>
          <w:highlight w:val="none"/>
        </w:rPr>
      </w:pPr>
      <w:r>
        <w:rPr>
          <w:rFonts w:hint="eastAsia" w:ascii="宋体" w:hAnsi="宋体"/>
          <w:b/>
          <w:color w:val="auto"/>
          <w:szCs w:val="21"/>
          <w:highlight w:val="none"/>
        </w:rPr>
        <w:t>以上资料均须按顺序装订并每页加盖公章（投标文件正、副本须每页加盖公章），投标人所提交的文件的完整与否，直接影响投标人的评价，否则造成的一切风险均由投标人自行承担。</w:t>
      </w:r>
    </w:p>
    <w:p w14:paraId="03D8051C">
      <w:pPr>
        <w:spacing w:line="400" w:lineRule="exact"/>
        <w:ind w:firstLine="562" w:firstLineChars="200"/>
        <w:rPr>
          <w:rFonts w:ascii="宋体" w:hAnsi="宋体"/>
          <w:b/>
          <w:color w:val="auto"/>
          <w:sz w:val="28"/>
          <w:szCs w:val="28"/>
          <w:highlight w:val="none"/>
        </w:rPr>
      </w:pPr>
    </w:p>
    <w:p w14:paraId="03DBEF98">
      <w:pPr>
        <w:pStyle w:val="20"/>
        <w:rPr>
          <w:highlight w:val="none"/>
        </w:rPr>
      </w:pPr>
    </w:p>
    <w:p w14:paraId="2D839E8E">
      <w:pPr>
        <w:pStyle w:val="20"/>
        <w:rPr>
          <w:highlight w:val="none"/>
        </w:rPr>
      </w:pPr>
    </w:p>
    <w:p w14:paraId="1B14A450">
      <w:pPr>
        <w:pStyle w:val="20"/>
        <w:rPr>
          <w:highlight w:val="none"/>
        </w:rPr>
      </w:pPr>
    </w:p>
    <w:p w14:paraId="4362ACCE">
      <w:pPr>
        <w:spacing w:line="400" w:lineRule="exact"/>
        <w:ind w:firstLine="562" w:firstLineChars="200"/>
        <w:rPr>
          <w:rFonts w:ascii="宋体" w:hAnsi="宋体"/>
          <w:b/>
          <w:color w:val="auto"/>
          <w:sz w:val="28"/>
          <w:szCs w:val="28"/>
          <w:highlight w:val="none"/>
        </w:rPr>
      </w:pPr>
    </w:p>
    <w:p w14:paraId="588B5469">
      <w:pPr>
        <w:pageBreakBefore/>
        <w:spacing w:line="360" w:lineRule="auto"/>
        <w:rPr>
          <w:b/>
          <w:color w:val="auto"/>
          <w:sz w:val="28"/>
          <w:szCs w:val="28"/>
          <w:highlight w:val="none"/>
        </w:rPr>
      </w:pPr>
      <w:r>
        <w:rPr>
          <w:rFonts w:hint="eastAsia"/>
          <w:b/>
          <w:color w:val="auto"/>
          <w:sz w:val="28"/>
          <w:szCs w:val="28"/>
          <w:highlight w:val="none"/>
        </w:rPr>
        <w:t>附件1</w:t>
      </w:r>
    </w:p>
    <w:p w14:paraId="049F686B">
      <w:pPr>
        <w:spacing w:line="360" w:lineRule="auto"/>
        <w:ind w:left="720"/>
        <w:jc w:val="center"/>
        <w:rPr>
          <w:rFonts w:ascii="宋体"/>
          <w:b/>
          <w:color w:val="auto"/>
          <w:sz w:val="28"/>
          <w:szCs w:val="28"/>
          <w:highlight w:val="none"/>
        </w:rPr>
      </w:pPr>
      <w:r>
        <w:rPr>
          <w:rFonts w:hint="eastAsia"/>
          <w:b/>
          <w:color w:val="auto"/>
          <w:sz w:val="28"/>
          <w:szCs w:val="28"/>
          <w:highlight w:val="none"/>
        </w:rPr>
        <w:t>法定代表人身份证明或授权委托书</w:t>
      </w:r>
    </w:p>
    <w:p w14:paraId="2083784E">
      <w:pPr>
        <w:pStyle w:val="67"/>
        <w:spacing w:beforeLines="50" w:afterLines="50" w:line="480" w:lineRule="exact"/>
        <w:ind w:firstLine="180" w:firstLineChars="75"/>
        <w:rPr>
          <w:rFonts w:ascii="宋体"/>
          <w:b/>
          <w:color w:val="auto"/>
          <w:sz w:val="24"/>
          <w:szCs w:val="24"/>
          <w:highlight w:val="none"/>
        </w:rPr>
      </w:pPr>
      <w:r>
        <w:rPr>
          <w:rFonts w:hint="eastAsia" w:ascii="宋体"/>
          <w:color w:val="auto"/>
          <w:sz w:val="24"/>
          <w:szCs w:val="24"/>
          <w:highlight w:val="none"/>
        </w:rPr>
        <w:t>1、法定代表人身份证明</w:t>
      </w:r>
    </w:p>
    <w:p w14:paraId="6F8E917B">
      <w:pPr>
        <w:spacing w:line="480" w:lineRule="exact"/>
        <w:ind w:firstLine="480" w:firstLineChars="200"/>
        <w:rPr>
          <w:rFonts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 xml:space="preserve"> </w:t>
      </w:r>
    </w:p>
    <w:p w14:paraId="6DD04755">
      <w:pPr>
        <w:spacing w:line="480" w:lineRule="exact"/>
        <w:ind w:firstLine="480" w:firstLineChars="200"/>
        <w:rPr>
          <w:rFonts w:ascii="宋体"/>
          <w:color w:val="auto"/>
          <w:sz w:val="24"/>
          <w:highlight w:val="none"/>
        </w:rPr>
      </w:pPr>
      <w:r>
        <w:rPr>
          <w:rFonts w:hint="eastAsia" w:ascii="宋体"/>
          <w:color w:val="auto"/>
          <w:sz w:val="24"/>
          <w:highlight w:val="none"/>
        </w:rPr>
        <w:t xml:space="preserve">单位性质： </w:t>
      </w:r>
      <w:r>
        <w:rPr>
          <w:rFonts w:hint="eastAsia" w:ascii="宋体"/>
          <w:color w:val="auto"/>
          <w:sz w:val="24"/>
          <w:highlight w:val="none"/>
          <w:u w:val="single"/>
        </w:rPr>
        <w:t xml:space="preserve">                                  </w:t>
      </w:r>
      <w:r>
        <w:rPr>
          <w:rFonts w:hint="eastAsia" w:ascii="宋体"/>
          <w:color w:val="auto"/>
          <w:sz w:val="24"/>
          <w:highlight w:val="none"/>
        </w:rPr>
        <w:t xml:space="preserve"> </w:t>
      </w:r>
    </w:p>
    <w:p w14:paraId="388EF34A">
      <w:pPr>
        <w:spacing w:line="480" w:lineRule="exact"/>
        <w:ind w:firstLine="480" w:firstLineChars="200"/>
        <w:rPr>
          <w:rFonts w:ascii="宋体"/>
          <w:color w:val="auto"/>
          <w:sz w:val="24"/>
          <w:highlight w:val="none"/>
        </w:rPr>
      </w:pPr>
      <w:r>
        <w:rPr>
          <w:rFonts w:hint="eastAsia" w:ascii="宋体"/>
          <w:color w:val="auto"/>
          <w:sz w:val="24"/>
          <w:highlight w:val="none"/>
        </w:rPr>
        <w:t>地    址：</w:t>
      </w:r>
      <w:r>
        <w:rPr>
          <w:rFonts w:hint="eastAsia" w:ascii="宋体"/>
          <w:color w:val="auto"/>
          <w:sz w:val="24"/>
          <w:highlight w:val="none"/>
          <w:u w:val="single"/>
        </w:rPr>
        <w:t xml:space="preserve">                                   </w:t>
      </w:r>
      <w:r>
        <w:rPr>
          <w:rFonts w:hint="eastAsia" w:ascii="宋体"/>
          <w:color w:val="auto"/>
          <w:sz w:val="24"/>
          <w:highlight w:val="none"/>
        </w:rPr>
        <w:t xml:space="preserve"> </w:t>
      </w:r>
    </w:p>
    <w:p w14:paraId="2033B433">
      <w:pPr>
        <w:spacing w:line="480" w:lineRule="exact"/>
        <w:ind w:firstLine="480" w:firstLineChars="200"/>
        <w:rPr>
          <w:rFonts w:ascii="宋体"/>
          <w:color w:val="auto"/>
          <w:sz w:val="24"/>
          <w:highlight w:val="none"/>
        </w:rPr>
      </w:pPr>
      <w:r>
        <w:rPr>
          <w:rFonts w:hint="eastAsia" w:ascii="宋体"/>
          <w:color w:val="auto"/>
          <w:sz w:val="24"/>
          <w:highlight w:val="none"/>
        </w:rPr>
        <w:t>成立时间：</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 xml:space="preserve"> 日</w:t>
      </w:r>
    </w:p>
    <w:p w14:paraId="7991A6B9">
      <w:pPr>
        <w:spacing w:line="480" w:lineRule="exact"/>
        <w:ind w:firstLine="480" w:firstLineChars="200"/>
        <w:rPr>
          <w:rFonts w:ascii="宋体"/>
          <w:color w:val="auto"/>
          <w:sz w:val="24"/>
          <w:highlight w:val="none"/>
        </w:rPr>
      </w:pPr>
      <w:r>
        <w:rPr>
          <w:rFonts w:hint="eastAsia" w:ascii="宋体"/>
          <w:color w:val="auto"/>
          <w:sz w:val="24"/>
          <w:highlight w:val="none"/>
        </w:rPr>
        <w:t>经营期限：</w:t>
      </w:r>
      <w:r>
        <w:rPr>
          <w:rFonts w:hint="eastAsia" w:ascii="宋体"/>
          <w:color w:val="auto"/>
          <w:sz w:val="24"/>
          <w:highlight w:val="none"/>
          <w:u w:val="single"/>
        </w:rPr>
        <w:t xml:space="preserve">                                </w:t>
      </w:r>
      <w:r>
        <w:rPr>
          <w:rFonts w:hint="eastAsia" w:ascii="宋体"/>
          <w:color w:val="auto"/>
          <w:sz w:val="24"/>
          <w:highlight w:val="none"/>
        </w:rPr>
        <w:t xml:space="preserve"> </w:t>
      </w:r>
    </w:p>
    <w:p w14:paraId="4DF197F9">
      <w:pPr>
        <w:spacing w:line="480" w:lineRule="exact"/>
        <w:ind w:firstLine="1440" w:firstLineChars="200"/>
        <w:rPr>
          <w:rFonts w:ascii="宋体"/>
          <w:color w:val="auto"/>
          <w:sz w:val="24"/>
          <w:highlight w:val="none"/>
        </w:rPr>
      </w:pPr>
      <w:r>
        <w:rPr>
          <w:rFonts w:hint="eastAsia" w:ascii="宋体"/>
          <w:color w:val="auto"/>
          <w:spacing w:val="240"/>
          <w:sz w:val="24"/>
          <w:highlight w:val="none"/>
        </w:rPr>
        <w:t>姓</w:t>
      </w:r>
      <w:r>
        <w:rPr>
          <w:rFonts w:hint="eastAsia" w:ascii="宋体"/>
          <w:color w:val="auto"/>
          <w:sz w:val="24"/>
          <w:highlight w:val="none"/>
        </w:rPr>
        <w:t>名：</w:t>
      </w:r>
      <w:r>
        <w:rPr>
          <w:rFonts w:hint="eastAsia"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 xml:space="preserve">     </w:t>
      </w:r>
      <w:r>
        <w:rPr>
          <w:rFonts w:hint="eastAsia" w:ascii="宋体"/>
          <w:color w:val="auto"/>
          <w:sz w:val="24"/>
          <w:highlight w:val="none"/>
        </w:rPr>
        <w:t>职务：</w:t>
      </w:r>
      <w:r>
        <w:rPr>
          <w:rFonts w:hint="eastAsia" w:ascii="宋体"/>
          <w:color w:val="auto"/>
          <w:sz w:val="24"/>
          <w:highlight w:val="none"/>
          <w:u w:val="single"/>
        </w:rPr>
        <w:t xml:space="preserve">       </w:t>
      </w:r>
    </w:p>
    <w:p w14:paraId="1739F9C3">
      <w:pPr>
        <w:spacing w:line="480" w:lineRule="exact"/>
        <w:ind w:firstLine="480" w:firstLineChars="200"/>
        <w:rPr>
          <w:rFonts w:ascii="宋体"/>
          <w:color w:val="auto"/>
          <w:sz w:val="24"/>
          <w:highlight w:val="none"/>
        </w:rPr>
      </w:pPr>
      <w:r>
        <w:rPr>
          <w:rFonts w:hint="eastAsia" w:ascii="宋体"/>
          <w:color w:val="auto"/>
          <w:sz w:val="24"/>
          <w:highlight w:val="none"/>
        </w:rPr>
        <w:t>系</w:t>
      </w:r>
      <w:r>
        <w:rPr>
          <w:rFonts w:hint="eastAsia" w:ascii="宋体"/>
          <w:color w:val="auto"/>
          <w:sz w:val="24"/>
          <w:highlight w:val="none"/>
          <w:u w:val="single"/>
        </w:rPr>
        <w:t xml:space="preserve">                                </w:t>
      </w:r>
      <w:r>
        <w:rPr>
          <w:rFonts w:hint="eastAsia" w:ascii="宋体"/>
          <w:color w:val="auto"/>
          <w:sz w:val="24"/>
          <w:highlight w:val="none"/>
        </w:rPr>
        <w:t>（投标人名称）的法定代表人。</w:t>
      </w:r>
    </w:p>
    <w:p w14:paraId="77684A96">
      <w:pPr>
        <w:spacing w:line="480" w:lineRule="exact"/>
        <w:ind w:firstLine="960" w:firstLineChars="400"/>
        <w:rPr>
          <w:rFonts w:ascii="宋体"/>
          <w:color w:val="auto"/>
          <w:sz w:val="24"/>
          <w:highlight w:val="none"/>
        </w:rPr>
      </w:pPr>
      <w:r>
        <w:rPr>
          <w:rFonts w:hint="eastAsia" w:ascii="宋体"/>
          <w:color w:val="auto"/>
          <w:sz w:val="24"/>
          <w:highlight w:val="none"/>
        </w:rPr>
        <w:t>特此证明。</w:t>
      </w:r>
    </w:p>
    <w:p w14:paraId="6DD526A5">
      <w:pPr>
        <w:spacing w:line="360" w:lineRule="auto"/>
        <w:ind w:firstLine="3480" w:firstLineChars="1450"/>
        <w:rPr>
          <w:rFonts w:ascii="宋体"/>
          <w:color w:val="auto"/>
          <w:sz w:val="24"/>
          <w:highlight w:val="none"/>
        </w:rPr>
      </w:pPr>
      <w:r>
        <w:rPr>
          <w:rFonts w:hint="eastAsia" w:ascii="宋体"/>
          <w:color w:val="auto"/>
          <w:sz w:val="24"/>
          <w:highlight w:val="none"/>
        </w:rPr>
        <w:t>投标人：</w:t>
      </w:r>
      <w:r>
        <w:rPr>
          <w:rFonts w:hint="eastAsia" w:ascii="宋体"/>
          <w:color w:val="auto"/>
          <w:sz w:val="24"/>
          <w:highlight w:val="none"/>
          <w:u w:val="single"/>
        </w:rPr>
        <w:t xml:space="preserve">                 </w:t>
      </w:r>
      <w:r>
        <w:rPr>
          <w:rFonts w:hint="eastAsia" w:ascii="宋体"/>
          <w:color w:val="auto"/>
          <w:sz w:val="24"/>
          <w:highlight w:val="none"/>
        </w:rPr>
        <w:t>（盖单位章）</w:t>
      </w:r>
    </w:p>
    <w:p w14:paraId="6EBB5631">
      <w:pPr>
        <w:spacing w:line="360" w:lineRule="auto"/>
        <w:rPr>
          <w:rFonts w:ascii="宋体"/>
          <w:color w:val="auto"/>
          <w:sz w:val="24"/>
          <w:highlight w:val="none"/>
        </w:rPr>
      </w:pPr>
      <w:r>
        <w:rPr>
          <w:rFonts w:hint="eastAsia" w:ascii="宋体"/>
          <w:color w:val="auto"/>
          <w:sz w:val="24"/>
          <w:highlight w:val="none"/>
        </w:rPr>
        <w:t xml:space="preserve">                                        年    月     日</w:t>
      </w:r>
    </w:p>
    <w:p w14:paraId="28A9692C">
      <w:pPr>
        <w:spacing w:line="360" w:lineRule="auto"/>
        <w:jc w:val="center"/>
        <w:rPr>
          <w:rFonts w:ascii="宋体"/>
          <w:color w:val="auto"/>
          <w:sz w:val="28"/>
          <w:szCs w:val="28"/>
          <w:highlight w:val="none"/>
        </w:rPr>
      </w:pPr>
      <w:r>
        <w:rPr>
          <w:rFonts w:hint="eastAsia" w:ascii="宋体"/>
          <w:color w:val="auto"/>
          <w:sz w:val="28"/>
          <w:szCs w:val="28"/>
          <w:highlight w:val="none"/>
        </w:rPr>
        <w:t>2、授权委托书</w:t>
      </w:r>
    </w:p>
    <w:p w14:paraId="5A5E1C10">
      <w:pPr>
        <w:spacing w:line="480" w:lineRule="exact"/>
        <w:ind w:firstLine="480" w:firstLineChars="200"/>
        <w:rPr>
          <w:rFonts w:ascii="宋体"/>
          <w:color w:val="auto"/>
          <w:sz w:val="24"/>
          <w:highlight w:val="none"/>
        </w:rPr>
      </w:pPr>
      <w:r>
        <w:rPr>
          <w:rFonts w:hint="eastAsia" w:ascii="宋体"/>
          <w:color w:val="auto"/>
          <w:sz w:val="24"/>
          <w:highlight w:val="none"/>
        </w:rPr>
        <w:t xml:space="preserve">本人 </w:t>
      </w:r>
      <w:r>
        <w:rPr>
          <w:rFonts w:hint="eastAsia" w:ascii="宋体"/>
          <w:color w:val="auto"/>
          <w:sz w:val="24"/>
          <w:highlight w:val="none"/>
          <w:u w:val="single"/>
        </w:rPr>
        <w:t xml:space="preserve">    </w:t>
      </w:r>
      <w:r>
        <w:rPr>
          <w:rFonts w:hint="eastAsia" w:ascii="宋体"/>
          <w:color w:val="auto"/>
          <w:sz w:val="24"/>
          <w:highlight w:val="none"/>
        </w:rPr>
        <w:t>（姓名）系</w:t>
      </w:r>
      <w:r>
        <w:rPr>
          <w:rFonts w:hint="eastAsia" w:ascii="宋体"/>
          <w:color w:val="auto"/>
          <w:sz w:val="24"/>
          <w:highlight w:val="none"/>
          <w:u w:val="single"/>
        </w:rPr>
        <w:t xml:space="preserve">       </w:t>
      </w:r>
      <w:r>
        <w:rPr>
          <w:rFonts w:hint="eastAsia" w:ascii="宋体"/>
          <w:color w:val="auto"/>
          <w:sz w:val="24"/>
          <w:highlight w:val="none"/>
        </w:rPr>
        <w:t>（投标人）的法定代表人，现委托</w:t>
      </w:r>
      <w:r>
        <w:rPr>
          <w:rFonts w:hint="eastAsia"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 “</w:t>
      </w:r>
      <w:r>
        <w:rPr>
          <w:rFonts w:hint="eastAsia" w:ascii="宋体"/>
          <w:color w:val="auto"/>
          <w:sz w:val="24"/>
          <w:highlight w:val="none"/>
          <w:u w:val="single"/>
        </w:rPr>
        <w:t xml:space="preserve">      </w:t>
      </w:r>
      <w:r>
        <w:rPr>
          <w:rFonts w:hint="eastAsia" w:ascii="宋体"/>
          <w:color w:val="auto"/>
          <w:sz w:val="24"/>
          <w:highlight w:val="none"/>
        </w:rPr>
        <w:t xml:space="preserve"> ”(项目名称）投标文件，全权处理与该项目投标、评审答疑、签订合同以及与合同执行有关的一切事务，其法律后果由我方承担。</w:t>
      </w:r>
    </w:p>
    <w:p w14:paraId="4B7BB107">
      <w:pPr>
        <w:spacing w:line="480" w:lineRule="exact"/>
        <w:ind w:firstLine="480" w:firstLineChars="200"/>
        <w:rPr>
          <w:rFonts w:ascii="宋体"/>
          <w:color w:val="auto"/>
          <w:sz w:val="24"/>
          <w:highlight w:val="none"/>
        </w:rPr>
      </w:pPr>
      <w:r>
        <w:rPr>
          <w:rFonts w:hint="eastAsia" w:ascii="宋体"/>
          <w:color w:val="auto"/>
          <w:sz w:val="24"/>
          <w:highlight w:val="none"/>
        </w:rPr>
        <w:t xml:space="preserve">委托期限：                                </w:t>
      </w:r>
    </w:p>
    <w:p w14:paraId="21F33FFC">
      <w:pPr>
        <w:spacing w:line="480" w:lineRule="exact"/>
        <w:ind w:firstLine="480" w:firstLineChars="200"/>
        <w:rPr>
          <w:rFonts w:ascii="宋体"/>
          <w:color w:val="auto"/>
          <w:sz w:val="24"/>
          <w:highlight w:val="none"/>
        </w:rPr>
      </w:pPr>
      <w:r>
        <w:rPr>
          <w:rFonts w:hint="eastAsia" w:ascii="宋体"/>
          <w:color w:val="auto"/>
          <w:sz w:val="24"/>
          <w:highlight w:val="none"/>
        </w:rPr>
        <w:t>代理人无转委托权。</w:t>
      </w:r>
    </w:p>
    <w:p w14:paraId="685ABEFF">
      <w:pPr>
        <w:spacing w:line="480" w:lineRule="exact"/>
        <w:ind w:firstLine="482" w:firstLineChars="200"/>
        <w:rPr>
          <w:rFonts w:ascii="宋体"/>
          <w:b/>
          <w:color w:val="auto"/>
          <w:sz w:val="24"/>
          <w:highlight w:val="none"/>
        </w:rPr>
      </w:pPr>
      <w:r>
        <w:rPr>
          <w:rFonts w:hint="eastAsia" w:ascii="宋体"/>
          <w:b/>
          <w:color w:val="auto"/>
          <w:sz w:val="24"/>
          <w:highlight w:val="none"/>
        </w:rPr>
        <w:t>附：法定代表人及委托代理人身份证复印件</w:t>
      </w:r>
    </w:p>
    <w:p w14:paraId="1C59CA4F">
      <w:pPr>
        <w:spacing w:line="480" w:lineRule="exact"/>
        <w:ind w:firstLine="2280" w:firstLineChars="950"/>
        <w:rPr>
          <w:rFonts w:ascii="宋体"/>
          <w:color w:val="auto"/>
          <w:sz w:val="24"/>
          <w:highlight w:val="none"/>
        </w:rPr>
      </w:pPr>
      <w:r>
        <w:rPr>
          <w:rFonts w:hint="eastAsia" w:ascii="宋体"/>
          <w:color w:val="auto"/>
          <w:sz w:val="24"/>
          <w:highlight w:val="none"/>
        </w:rPr>
        <w:t xml:space="preserve">      投标人（盖单位章）：</w:t>
      </w:r>
    </w:p>
    <w:p w14:paraId="3F35FF25">
      <w:pPr>
        <w:spacing w:line="480" w:lineRule="exact"/>
        <w:ind w:firstLine="2280" w:firstLineChars="950"/>
        <w:rPr>
          <w:rFonts w:ascii="宋体"/>
          <w:color w:val="auto"/>
          <w:sz w:val="24"/>
          <w:highlight w:val="none"/>
        </w:rPr>
      </w:pPr>
      <w:r>
        <w:rPr>
          <w:rFonts w:hint="eastAsia" w:ascii="宋体"/>
          <w:color w:val="auto"/>
          <w:sz w:val="24"/>
          <w:highlight w:val="none"/>
        </w:rPr>
        <w:t>法定代表人（身份证号码）：          （签字或盖章）</w:t>
      </w:r>
    </w:p>
    <w:p w14:paraId="20FD563A">
      <w:pPr>
        <w:spacing w:line="480" w:lineRule="exact"/>
        <w:ind w:firstLine="2280" w:firstLineChars="950"/>
        <w:rPr>
          <w:rFonts w:ascii="宋体"/>
          <w:color w:val="auto"/>
          <w:sz w:val="24"/>
          <w:highlight w:val="none"/>
        </w:rPr>
      </w:pPr>
      <w:r>
        <w:rPr>
          <w:rFonts w:hint="eastAsia" w:ascii="宋体"/>
          <w:color w:val="auto"/>
          <w:sz w:val="24"/>
          <w:highlight w:val="none"/>
        </w:rPr>
        <w:t>委托代理人（身份证号码）：          （签字或盖章）</w:t>
      </w:r>
    </w:p>
    <w:p w14:paraId="46A4AAC7">
      <w:pPr>
        <w:spacing w:line="480" w:lineRule="exact"/>
        <w:ind w:firstLine="4200" w:firstLineChars="1750"/>
        <w:rPr>
          <w:rFonts w:ascii="宋体"/>
          <w:color w:val="auto"/>
          <w:sz w:val="24"/>
          <w:highlight w:val="none"/>
        </w:rPr>
      </w:pPr>
      <w:r>
        <w:rPr>
          <w:rFonts w:hint="eastAsia" w:ascii="宋体"/>
          <w:color w:val="auto"/>
          <w:sz w:val="24"/>
          <w:highlight w:val="none"/>
        </w:rPr>
        <w:t>联系电话：</w:t>
      </w:r>
    </w:p>
    <w:p w14:paraId="2FFB8B3F">
      <w:pPr>
        <w:spacing w:line="480" w:lineRule="exact"/>
        <w:ind w:firstLine="2280" w:firstLineChars="950"/>
        <w:rPr>
          <w:rFonts w:ascii="宋体"/>
          <w:color w:val="auto"/>
          <w:sz w:val="24"/>
          <w:highlight w:val="none"/>
        </w:rPr>
      </w:pPr>
      <w:r>
        <w:rPr>
          <w:rFonts w:hint="eastAsia" w:ascii="宋体"/>
          <w:color w:val="auto"/>
          <w:sz w:val="24"/>
          <w:highlight w:val="none"/>
        </w:rPr>
        <w:t xml:space="preserve">                  年    月    日</w:t>
      </w:r>
    </w:p>
    <w:p w14:paraId="3369C0B9">
      <w:pPr>
        <w:rPr>
          <w:rFonts w:ascii="宋体"/>
          <w:color w:val="auto"/>
          <w:sz w:val="24"/>
          <w:highlight w:val="none"/>
        </w:rPr>
      </w:pPr>
      <w:r>
        <w:rPr>
          <w:rFonts w:hint="eastAsia" w:ascii="宋体"/>
          <w:color w:val="auto"/>
          <w:sz w:val="24"/>
          <w:highlight w:val="none"/>
        </w:rPr>
        <w:br w:type="page"/>
      </w:r>
    </w:p>
    <w:p w14:paraId="7D08DA7C">
      <w:pPr>
        <w:pageBreakBefore/>
        <w:spacing w:line="360" w:lineRule="auto"/>
        <w:rPr>
          <w:b/>
          <w:color w:val="auto"/>
          <w:sz w:val="28"/>
          <w:szCs w:val="28"/>
          <w:highlight w:val="none"/>
        </w:rPr>
      </w:pPr>
      <w:r>
        <w:rPr>
          <w:rFonts w:hint="eastAsia"/>
          <w:b/>
          <w:color w:val="auto"/>
          <w:sz w:val="28"/>
          <w:szCs w:val="28"/>
          <w:highlight w:val="none"/>
        </w:rPr>
        <w:t>附件2</w:t>
      </w:r>
    </w:p>
    <w:p w14:paraId="1A8BC27D">
      <w:pPr>
        <w:jc w:val="center"/>
        <w:rPr>
          <w:rFonts w:ascii="Arial" w:hAnsi="Arial" w:cs="Arial"/>
          <w:b/>
          <w:sz w:val="30"/>
          <w:szCs w:val="30"/>
          <w:highlight w:val="none"/>
        </w:rPr>
      </w:pPr>
      <w:r>
        <w:rPr>
          <w:rFonts w:hint="eastAsia" w:ascii="宋体" w:hAnsi="宋体" w:cs="宋体"/>
          <w:b/>
          <w:bCs/>
          <w:sz w:val="30"/>
          <w:szCs w:val="30"/>
          <w:highlight w:val="none"/>
        </w:rPr>
        <w:t>诚信投标承诺书</w:t>
      </w:r>
    </w:p>
    <w:p w14:paraId="6C6FEA23">
      <w:pPr>
        <w:spacing w:line="480" w:lineRule="exact"/>
        <w:rPr>
          <w:rFonts w:ascii="宋体" w:hAnsi="宋体"/>
          <w:szCs w:val="21"/>
          <w:highlight w:val="none"/>
        </w:rPr>
      </w:pPr>
      <w:r>
        <w:rPr>
          <w:rFonts w:hint="eastAsia" w:ascii="宋体" w:hAnsi="宋体" w:cs="宋体"/>
          <w:szCs w:val="21"/>
          <w:highlight w:val="none"/>
        </w:rPr>
        <w:t>本人以企业法定代表人的身份郑重承诺：</w:t>
      </w:r>
    </w:p>
    <w:p w14:paraId="3199BBA4">
      <w:pPr>
        <w:spacing w:line="480" w:lineRule="exact"/>
        <w:ind w:firstLine="420" w:firstLineChars="200"/>
        <w:rPr>
          <w:rFonts w:ascii="宋体" w:hAnsi="宋体"/>
          <w:szCs w:val="21"/>
          <w:highlight w:val="none"/>
        </w:rPr>
      </w:pPr>
      <w:r>
        <w:rPr>
          <w:rFonts w:hint="eastAsia" w:ascii="宋体" w:hAnsi="宋体" w:cs="宋体"/>
          <w:szCs w:val="21"/>
          <w:highlight w:val="none"/>
        </w:rPr>
        <w:t>一、将遵循公开、公正和诚实信用的原则自愿参加</w:t>
      </w:r>
      <w:r>
        <w:rPr>
          <w:rFonts w:hint="eastAsia" w:ascii="宋体" w:hAnsi="宋体"/>
          <w:szCs w:val="21"/>
          <w:highlight w:val="none"/>
          <w:u w:val="single"/>
        </w:rPr>
        <w:t xml:space="preserve">                   </w:t>
      </w:r>
      <w:r>
        <w:rPr>
          <w:rFonts w:hint="eastAsia" w:ascii="宋体" w:hAnsi="宋体" w:cs="宋体"/>
          <w:szCs w:val="21"/>
          <w:highlight w:val="none"/>
        </w:rPr>
        <w:t>项目的投标；</w:t>
      </w:r>
    </w:p>
    <w:p w14:paraId="225FECB8">
      <w:pPr>
        <w:spacing w:line="480" w:lineRule="exact"/>
        <w:ind w:firstLine="420" w:firstLineChars="200"/>
        <w:rPr>
          <w:rFonts w:ascii="宋体" w:hAnsi="宋体" w:cs="宋体"/>
          <w:szCs w:val="21"/>
          <w:highlight w:val="none"/>
        </w:rPr>
      </w:pPr>
      <w:r>
        <w:rPr>
          <w:rFonts w:hint="eastAsia" w:ascii="宋体" w:hAnsi="宋体" w:cs="宋体"/>
          <w:szCs w:val="21"/>
          <w:highlight w:val="none"/>
        </w:rPr>
        <w:t>二、所提供的一切材料都是真实、有效、合法的；</w:t>
      </w:r>
    </w:p>
    <w:p w14:paraId="3C3B55D3">
      <w:pPr>
        <w:spacing w:line="480" w:lineRule="exact"/>
        <w:ind w:firstLine="420" w:firstLineChars="200"/>
        <w:rPr>
          <w:rFonts w:ascii="宋体" w:hAnsi="宋体" w:cs="宋体"/>
          <w:szCs w:val="21"/>
          <w:highlight w:val="none"/>
        </w:rPr>
      </w:pPr>
      <w:r>
        <w:rPr>
          <w:rFonts w:hint="eastAsia" w:ascii="宋体" w:hAnsi="宋体" w:cs="宋体"/>
          <w:szCs w:val="21"/>
          <w:highlight w:val="none"/>
        </w:rPr>
        <w:t>三、不出借、转让资质证书，不让他人挂靠投标，不以他人名义投标或者以其他方式弄虚作假，骗取中标；</w:t>
      </w:r>
    </w:p>
    <w:p w14:paraId="58C2B2BD">
      <w:pPr>
        <w:spacing w:line="480" w:lineRule="exact"/>
        <w:ind w:firstLine="420" w:firstLineChars="200"/>
        <w:rPr>
          <w:rFonts w:ascii="宋体" w:hAnsi="宋体" w:cs="宋体"/>
          <w:szCs w:val="21"/>
          <w:highlight w:val="none"/>
        </w:rPr>
      </w:pPr>
      <w:r>
        <w:rPr>
          <w:rFonts w:hint="eastAsia" w:ascii="宋体" w:hAnsi="宋体" w:cs="宋体"/>
          <w:szCs w:val="21"/>
          <w:highlight w:val="none"/>
        </w:rPr>
        <w:t>四、不与其他投标人相互串通投标报价，不排挤其他投标人的公平竞争、损害招标人的合法权益；</w:t>
      </w:r>
    </w:p>
    <w:p w14:paraId="68173E41">
      <w:pPr>
        <w:spacing w:line="480" w:lineRule="exact"/>
        <w:ind w:firstLine="420" w:firstLineChars="200"/>
        <w:rPr>
          <w:rFonts w:ascii="宋体" w:hAnsi="宋体" w:cs="宋体"/>
          <w:szCs w:val="21"/>
          <w:highlight w:val="none"/>
        </w:rPr>
      </w:pPr>
      <w:r>
        <w:rPr>
          <w:rFonts w:hint="eastAsia" w:ascii="宋体" w:hAnsi="宋体" w:cs="宋体"/>
          <w:szCs w:val="21"/>
          <w:highlight w:val="none"/>
        </w:rPr>
        <w:t>五、我公司没有下列情形：1、被人民法院列入失信被执行人的；2、我公司及其法定代表人、拟派项目经理（项目负责人）近三年有行贿犯罪行为的；3、被市场监督管理部门列入经营异常名录或者严重违法企业名单的；4、被税收部门列入重大税收违法案件当事人的；5、被政府采购监管部门列入政府采购严重违法失信行为记录名单的；6、在“信用中国”网站上披露仍在公示期的严重失信行为的；7、被行业主管部门及公管部门禁止在一定期限内参加政府采购活动且在禁止期限内的；8、参与政府采购活动前3年在经营活动中有重大违法记录的；</w:t>
      </w:r>
    </w:p>
    <w:p w14:paraId="73CE73F0">
      <w:pPr>
        <w:spacing w:line="480" w:lineRule="exact"/>
        <w:ind w:firstLine="420" w:firstLineChars="200"/>
        <w:rPr>
          <w:rFonts w:ascii="宋体" w:hAnsi="宋体" w:cs="宋体"/>
          <w:szCs w:val="21"/>
          <w:highlight w:val="none"/>
        </w:rPr>
      </w:pPr>
      <w:r>
        <w:rPr>
          <w:rFonts w:hint="eastAsia" w:ascii="宋体" w:hAnsi="宋体" w:cs="宋体"/>
          <w:szCs w:val="21"/>
          <w:highlight w:val="none"/>
        </w:rPr>
        <w:t>六、保证中标之后，按照投标文件要求提供相关后续服务；</w:t>
      </w:r>
    </w:p>
    <w:p w14:paraId="6905DFB7">
      <w:pPr>
        <w:spacing w:line="480" w:lineRule="exact"/>
        <w:ind w:firstLine="420" w:firstLineChars="200"/>
        <w:rPr>
          <w:rFonts w:ascii="宋体" w:hAnsi="宋体" w:cs="宋体"/>
          <w:szCs w:val="21"/>
          <w:highlight w:val="none"/>
        </w:rPr>
      </w:pPr>
      <w:r>
        <w:rPr>
          <w:rFonts w:hint="eastAsia" w:ascii="宋体" w:hAnsi="宋体" w:cs="宋体"/>
          <w:szCs w:val="21"/>
          <w:highlight w:val="none"/>
        </w:rPr>
        <w:t>七、如在投标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32E0B24D">
      <w:pPr>
        <w:spacing w:line="480" w:lineRule="exact"/>
        <w:ind w:firstLine="420" w:firstLineChars="200"/>
        <w:rPr>
          <w:szCs w:val="21"/>
          <w:highlight w:val="none"/>
        </w:rPr>
      </w:pPr>
      <w:r>
        <w:rPr>
          <w:rFonts w:hint="eastAsia" w:ascii="宋体" w:hAnsi="宋体" w:cs="宋体"/>
          <w:szCs w:val="21"/>
          <w:highlight w:val="none"/>
        </w:rPr>
        <w:t>以上内容我已仔细阅读，本公司若有违反承诺内容的行为，自愿接受取消投标或者中标资格、记入不良行为记录等有关处理，愿意承担法律责任，给招标人造成损失的，依法承担赔偿责任。</w:t>
      </w:r>
    </w:p>
    <w:p w14:paraId="5026145D">
      <w:pPr>
        <w:spacing w:line="480" w:lineRule="exact"/>
        <w:ind w:firstLine="420" w:firstLineChars="200"/>
        <w:rPr>
          <w:rFonts w:ascii="宋体" w:hAnsi="宋体" w:cs="宋体"/>
          <w:szCs w:val="21"/>
          <w:highlight w:val="none"/>
        </w:rPr>
      </w:pPr>
    </w:p>
    <w:p w14:paraId="4502AAD7">
      <w:pPr>
        <w:spacing w:line="480" w:lineRule="exact"/>
        <w:ind w:firstLine="210" w:firstLineChars="100"/>
        <w:rPr>
          <w:rFonts w:ascii="宋体" w:hAnsi="宋体"/>
          <w:szCs w:val="21"/>
          <w:highlight w:val="none"/>
        </w:rPr>
      </w:pPr>
      <w:r>
        <w:rPr>
          <w:rFonts w:hint="eastAsia" w:ascii="宋体" w:hAnsi="宋体" w:cs="宋体"/>
          <w:szCs w:val="21"/>
          <w:highlight w:val="none"/>
        </w:rPr>
        <w:t>开户银行：                      基本账户：</w:t>
      </w:r>
    </w:p>
    <w:p w14:paraId="127C77EA">
      <w:pPr>
        <w:spacing w:line="480" w:lineRule="exact"/>
        <w:ind w:firstLine="210" w:firstLineChars="100"/>
        <w:rPr>
          <w:szCs w:val="21"/>
          <w:highlight w:val="none"/>
        </w:rPr>
      </w:pPr>
      <w:r>
        <w:rPr>
          <w:rFonts w:hint="eastAsia" w:ascii="宋体" w:hAnsi="宋体" w:cs="宋体"/>
          <w:szCs w:val="21"/>
          <w:highlight w:val="none"/>
        </w:rPr>
        <w:t>投标单位（盖单位章）：</w:t>
      </w:r>
      <w:r>
        <w:rPr>
          <w:rFonts w:hint="eastAsia" w:ascii="宋体" w:hAnsi="宋体"/>
          <w:szCs w:val="21"/>
          <w:highlight w:val="none"/>
        </w:rPr>
        <w:t xml:space="preserve">          </w:t>
      </w:r>
      <w:r>
        <w:rPr>
          <w:rFonts w:hint="eastAsia" w:ascii="宋体" w:hAnsi="宋体" w:cs="宋体"/>
          <w:szCs w:val="21"/>
          <w:highlight w:val="none"/>
        </w:rPr>
        <w:t>法定代表人或其委托代理人（签字或盖章）：</w:t>
      </w:r>
    </w:p>
    <w:p w14:paraId="16005612">
      <w:pPr>
        <w:spacing w:line="480" w:lineRule="exact"/>
        <w:rPr>
          <w:highlight w:val="none"/>
        </w:rPr>
      </w:pPr>
      <w:r>
        <w:rPr>
          <w:rFonts w:hint="eastAsia" w:ascii="宋体"/>
          <w:b/>
          <w:szCs w:val="21"/>
          <w:highlight w:val="none"/>
        </w:rPr>
        <w:t xml:space="preserve">                          </w:t>
      </w:r>
      <w:r>
        <w:rPr>
          <w:rFonts w:hint="eastAsia" w:ascii="宋体"/>
          <w:bCs/>
          <w:szCs w:val="21"/>
          <w:highlight w:val="none"/>
        </w:rPr>
        <w:t xml:space="preserve">        </w:t>
      </w:r>
      <w:r>
        <w:rPr>
          <w:rFonts w:hint="eastAsia" w:ascii="宋体" w:hAnsi="宋体" w:cs="宋体"/>
          <w:bCs/>
          <w:szCs w:val="21"/>
          <w:highlight w:val="none"/>
        </w:rPr>
        <w:t>年</w:t>
      </w:r>
      <w:r>
        <w:rPr>
          <w:rFonts w:hint="eastAsia" w:ascii="宋体"/>
          <w:bCs/>
          <w:szCs w:val="21"/>
          <w:highlight w:val="none"/>
        </w:rPr>
        <w:t xml:space="preserve">  </w:t>
      </w:r>
      <w:r>
        <w:rPr>
          <w:rFonts w:hint="eastAsia" w:ascii="宋体" w:hAnsi="宋体" w:cs="宋体"/>
          <w:bCs/>
          <w:szCs w:val="21"/>
          <w:highlight w:val="none"/>
        </w:rPr>
        <w:t>月</w:t>
      </w:r>
      <w:r>
        <w:rPr>
          <w:rFonts w:hint="eastAsia" w:ascii="宋体"/>
          <w:bCs/>
          <w:szCs w:val="21"/>
          <w:highlight w:val="none"/>
        </w:rPr>
        <w:t xml:space="preserve">   </w:t>
      </w:r>
      <w:r>
        <w:rPr>
          <w:rFonts w:hint="eastAsia" w:ascii="宋体" w:hAnsi="宋体" w:cs="宋体"/>
          <w:bCs/>
          <w:szCs w:val="21"/>
          <w:highlight w:val="none"/>
        </w:rPr>
        <w:t>日</w:t>
      </w:r>
    </w:p>
    <w:p w14:paraId="7C8219BA">
      <w:pPr>
        <w:rPr>
          <w:rFonts w:ascii="宋体" w:hAnsi="宋体"/>
          <w:b/>
          <w:color w:val="auto"/>
          <w:sz w:val="24"/>
          <w:highlight w:val="none"/>
        </w:rPr>
      </w:pPr>
      <w:r>
        <w:rPr>
          <w:rFonts w:hint="eastAsia" w:ascii="宋体" w:hAnsi="宋体"/>
          <w:b/>
          <w:color w:val="auto"/>
          <w:sz w:val="24"/>
          <w:highlight w:val="none"/>
        </w:rPr>
        <w:br w:type="page"/>
      </w:r>
    </w:p>
    <w:p w14:paraId="1547B14E">
      <w:pPr>
        <w:rPr>
          <w:rFonts w:ascii="宋体" w:hAnsi="宋体"/>
          <w:b/>
          <w:sz w:val="24"/>
          <w:szCs w:val="24"/>
          <w:highlight w:val="none"/>
        </w:rPr>
      </w:pPr>
      <w:r>
        <w:rPr>
          <w:rFonts w:hint="eastAsia" w:ascii="宋体" w:hAnsi="宋体" w:cs="宋体"/>
          <w:b/>
          <w:sz w:val="24"/>
          <w:szCs w:val="24"/>
          <w:highlight w:val="none"/>
        </w:rPr>
        <w:t>附件3：</w:t>
      </w:r>
    </w:p>
    <w:p w14:paraId="4BD47A79">
      <w:pPr>
        <w:spacing w:line="400" w:lineRule="exact"/>
        <w:ind w:firstLine="562" w:firstLineChars="200"/>
        <w:rPr>
          <w:b/>
          <w:sz w:val="28"/>
          <w:szCs w:val="28"/>
          <w:highlight w:val="none"/>
        </w:rPr>
      </w:pPr>
      <w:r>
        <w:rPr>
          <w:b/>
          <w:sz w:val="28"/>
          <w:szCs w:val="28"/>
          <w:highlight w:val="none"/>
        </w:rPr>
        <w:t xml:space="preserve"> </w:t>
      </w:r>
    </w:p>
    <w:p w14:paraId="47E7AF15">
      <w:pPr>
        <w:jc w:val="center"/>
        <w:rPr>
          <w:rFonts w:ascii="宋体"/>
          <w:b/>
          <w:sz w:val="30"/>
          <w:szCs w:val="30"/>
          <w:highlight w:val="none"/>
        </w:rPr>
      </w:pPr>
      <w:r>
        <w:rPr>
          <w:rFonts w:hint="eastAsia" w:ascii="宋体" w:hAnsi="宋体" w:cs="宋体"/>
          <w:b/>
          <w:sz w:val="30"/>
          <w:szCs w:val="30"/>
          <w:highlight w:val="none"/>
        </w:rPr>
        <w:t>服务承诺书</w:t>
      </w:r>
    </w:p>
    <w:p w14:paraId="6FB6E301">
      <w:pPr>
        <w:rPr>
          <w:rFonts w:ascii="宋体"/>
          <w:b/>
          <w:sz w:val="24"/>
          <w:szCs w:val="24"/>
          <w:highlight w:val="none"/>
        </w:rPr>
      </w:pPr>
      <w:r>
        <w:rPr>
          <w:rFonts w:hint="eastAsia" w:ascii="宋体" w:hAnsi="宋体" w:cs="宋体"/>
          <w:sz w:val="24"/>
          <w:szCs w:val="24"/>
          <w:highlight w:val="none"/>
        </w:rPr>
        <w:t>致：</w:t>
      </w:r>
      <w:r>
        <w:rPr>
          <w:rFonts w:hint="eastAsia" w:ascii="宋体"/>
          <w:sz w:val="24"/>
          <w:szCs w:val="24"/>
          <w:highlight w:val="none"/>
          <w:u w:val="single"/>
        </w:rPr>
        <w:t xml:space="preserve">          </w:t>
      </w:r>
      <w:r>
        <w:rPr>
          <w:rFonts w:hint="eastAsia" w:ascii="宋体" w:hAnsi="宋体" w:cs="宋体"/>
          <w:sz w:val="24"/>
          <w:szCs w:val="24"/>
          <w:highlight w:val="none"/>
          <w:u w:val="single"/>
        </w:rPr>
        <w:t>（招标人）</w:t>
      </w:r>
      <w:r>
        <w:rPr>
          <w:rFonts w:hint="eastAsia" w:ascii="宋体"/>
          <w:sz w:val="24"/>
          <w:szCs w:val="24"/>
          <w:highlight w:val="none"/>
          <w:u w:val="single"/>
        </w:rPr>
        <w:t xml:space="preserve">     </w:t>
      </w:r>
      <w:r>
        <w:rPr>
          <w:rFonts w:hint="eastAsia" w:ascii="宋体" w:hAnsi="宋体" w:cs="宋体"/>
          <w:sz w:val="24"/>
          <w:szCs w:val="24"/>
          <w:highlight w:val="none"/>
          <w:u w:val="single"/>
        </w:rPr>
        <w:t>：</w:t>
      </w:r>
    </w:p>
    <w:p w14:paraId="105E3211">
      <w:pPr>
        <w:spacing w:line="800" w:lineRule="exact"/>
        <w:ind w:firstLine="480" w:firstLineChars="200"/>
        <w:rPr>
          <w:rFonts w:ascii="宋体"/>
          <w:sz w:val="24"/>
          <w:szCs w:val="24"/>
          <w:highlight w:val="none"/>
        </w:rPr>
      </w:pPr>
      <w:r>
        <w:rPr>
          <w:rFonts w:hint="eastAsia" w:ascii="宋体" w:hAnsi="宋体" w:cs="宋体"/>
          <w:sz w:val="24"/>
          <w:szCs w:val="24"/>
          <w:highlight w:val="none"/>
        </w:rPr>
        <w:t>本承诺声明：</w:t>
      </w:r>
      <w:r>
        <w:rPr>
          <w:rFonts w:hint="eastAsia" w:ascii="宋体"/>
          <w:sz w:val="24"/>
          <w:szCs w:val="24"/>
          <w:highlight w:val="none"/>
          <w:u w:val="single"/>
        </w:rPr>
        <w:t xml:space="preserve">                   </w:t>
      </w:r>
      <w:r>
        <w:rPr>
          <w:rFonts w:hint="eastAsia" w:ascii="宋体" w:hAnsi="宋体" w:cs="宋体"/>
          <w:sz w:val="24"/>
          <w:szCs w:val="24"/>
          <w:highlight w:val="none"/>
        </w:rPr>
        <w:t>（投标人名称）对本招标文件的相关要求完全响应。若有幸中标将严格按照招标文件及招标人要求进行服务。</w:t>
      </w:r>
    </w:p>
    <w:p w14:paraId="7E717FA9">
      <w:pPr>
        <w:spacing w:line="480" w:lineRule="auto"/>
        <w:rPr>
          <w:rFonts w:ascii="宋体"/>
          <w:sz w:val="24"/>
          <w:szCs w:val="24"/>
          <w:highlight w:val="none"/>
        </w:rPr>
      </w:pPr>
      <w:r>
        <w:rPr>
          <w:rFonts w:hint="eastAsia" w:ascii="宋体"/>
          <w:sz w:val="24"/>
          <w:szCs w:val="24"/>
          <w:highlight w:val="none"/>
        </w:rPr>
        <w:t xml:space="preserve"> </w:t>
      </w:r>
    </w:p>
    <w:p w14:paraId="33253E38">
      <w:pPr>
        <w:spacing w:line="440" w:lineRule="exact"/>
        <w:rPr>
          <w:rFonts w:ascii="宋体"/>
          <w:sz w:val="24"/>
          <w:szCs w:val="24"/>
          <w:highlight w:val="none"/>
        </w:rPr>
      </w:pPr>
      <w:r>
        <w:rPr>
          <w:rFonts w:hint="eastAsia" w:ascii="宋体" w:hAnsi="宋体" w:cs="宋体"/>
          <w:sz w:val="24"/>
          <w:szCs w:val="24"/>
          <w:highlight w:val="none"/>
        </w:rPr>
        <w:t>特此声明</w:t>
      </w:r>
    </w:p>
    <w:p w14:paraId="6813D5C7">
      <w:pPr>
        <w:spacing w:line="600" w:lineRule="exact"/>
        <w:rPr>
          <w:rFonts w:ascii="宋体"/>
          <w:sz w:val="24"/>
          <w:szCs w:val="24"/>
          <w:highlight w:val="none"/>
        </w:rPr>
      </w:pPr>
      <w:r>
        <w:rPr>
          <w:sz w:val="24"/>
          <w:szCs w:val="24"/>
          <w:highlight w:val="none"/>
        </w:rPr>
        <w:t xml:space="preserve"> </w:t>
      </w:r>
    </w:p>
    <w:p w14:paraId="4C53D404">
      <w:pPr>
        <w:spacing w:line="600" w:lineRule="exact"/>
        <w:rPr>
          <w:rFonts w:ascii="宋体"/>
          <w:sz w:val="24"/>
          <w:szCs w:val="24"/>
          <w:highlight w:val="none"/>
          <w:u w:val="single"/>
        </w:rPr>
      </w:pPr>
      <w:r>
        <w:rPr>
          <w:rFonts w:hint="eastAsia" w:ascii="宋体"/>
          <w:sz w:val="24"/>
          <w:szCs w:val="24"/>
          <w:highlight w:val="none"/>
        </w:rPr>
        <w:t xml:space="preserve">                 </w:t>
      </w:r>
      <w:r>
        <w:rPr>
          <w:rFonts w:hint="eastAsia" w:ascii="宋体" w:hAnsi="宋体" w:cs="宋体"/>
          <w:sz w:val="24"/>
          <w:szCs w:val="24"/>
          <w:highlight w:val="none"/>
        </w:rPr>
        <w:t>法定代表人或其委托代理人（签字或盖章）：</w:t>
      </w:r>
      <w:r>
        <w:rPr>
          <w:rFonts w:hint="eastAsia" w:ascii="宋体"/>
          <w:sz w:val="24"/>
          <w:szCs w:val="24"/>
          <w:highlight w:val="none"/>
          <w:u w:val="single"/>
        </w:rPr>
        <w:t xml:space="preserve">                         </w:t>
      </w:r>
    </w:p>
    <w:p w14:paraId="3C88D849">
      <w:pPr>
        <w:spacing w:line="600" w:lineRule="exact"/>
        <w:rPr>
          <w:rFonts w:ascii="宋体"/>
          <w:sz w:val="24"/>
          <w:szCs w:val="24"/>
          <w:highlight w:val="none"/>
          <w:u w:val="single"/>
        </w:rPr>
      </w:pPr>
      <w:r>
        <w:rPr>
          <w:rFonts w:hint="eastAsia" w:ascii="宋体"/>
          <w:sz w:val="24"/>
          <w:szCs w:val="24"/>
          <w:highlight w:val="none"/>
        </w:rPr>
        <w:t xml:space="preserve">                                    </w:t>
      </w:r>
      <w:r>
        <w:rPr>
          <w:rFonts w:hint="eastAsia" w:ascii="宋体" w:hAnsi="宋体" w:cs="宋体"/>
          <w:sz w:val="24"/>
          <w:szCs w:val="24"/>
          <w:highlight w:val="none"/>
        </w:rPr>
        <w:t>投标单位名称：</w:t>
      </w:r>
      <w:r>
        <w:rPr>
          <w:rFonts w:hint="eastAsia" w:ascii="宋体"/>
          <w:sz w:val="24"/>
          <w:szCs w:val="24"/>
          <w:highlight w:val="none"/>
          <w:u w:val="single"/>
        </w:rPr>
        <w:t xml:space="preserve">    </w:t>
      </w:r>
      <w:r>
        <w:rPr>
          <w:rFonts w:hint="eastAsia" w:ascii="宋体" w:hAnsi="宋体" w:cs="宋体"/>
          <w:sz w:val="24"/>
          <w:szCs w:val="24"/>
          <w:highlight w:val="none"/>
          <w:u w:val="single"/>
        </w:rPr>
        <w:t>（单位章）</w:t>
      </w:r>
      <w:r>
        <w:rPr>
          <w:rFonts w:hint="eastAsia" w:ascii="宋体"/>
          <w:sz w:val="24"/>
          <w:szCs w:val="24"/>
          <w:highlight w:val="none"/>
          <w:u w:val="single"/>
        </w:rPr>
        <w:t xml:space="preserve">       </w:t>
      </w:r>
    </w:p>
    <w:p w14:paraId="793771A5">
      <w:pPr>
        <w:spacing w:line="600" w:lineRule="exact"/>
        <w:ind w:firstLine="4560" w:firstLineChars="1900"/>
        <w:rPr>
          <w:rFonts w:ascii="宋体"/>
          <w:sz w:val="24"/>
          <w:szCs w:val="24"/>
          <w:highlight w:val="none"/>
          <w:u w:val="single"/>
        </w:rPr>
      </w:pPr>
      <w:r>
        <w:rPr>
          <w:rFonts w:hint="eastAsia" w:ascii="宋体" w:hAnsi="宋体" w:cs="宋体"/>
          <w:sz w:val="24"/>
          <w:szCs w:val="24"/>
          <w:highlight w:val="none"/>
        </w:rPr>
        <w:t>日</w:t>
      </w:r>
      <w:r>
        <w:rPr>
          <w:rFonts w:hint="eastAsia" w:ascii="宋体"/>
          <w:sz w:val="24"/>
          <w:szCs w:val="24"/>
          <w:highlight w:val="none"/>
        </w:rPr>
        <w:t xml:space="preserve">    </w:t>
      </w:r>
      <w:r>
        <w:rPr>
          <w:rFonts w:hint="eastAsia" w:ascii="宋体" w:hAnsi="宋体" w:cs="宋体"/>
          <w:sz w:val="24"/>
          <w:szCs w:val="24"/>
          <w:highlight w:val="none"/>
        </w:rPr>
        <w:t>期：</w:t>
      </w:r>
      <w:r>
        <w:rPr>
          <w:rFonts w:hint="eastAsia" w:ascii="宋体"/>
          <w:sz w:val="24"/>
          <w:szCs w:val="24"/>
          <w:highlight w:val="none"/>
          <w:u w:val="single"/>
        </w:rPr>
        <w:t xml:space="preserve">                        </w:t>
      </w:r>
    </w:p>
    <w:p w14:paraId="3E5EEF11">
      <w:pPr>
        <w:pStyle w:val="22"/>
        <w:widowControl w:val="0"/>
        <w:adjustRightInd w:val="0"/>
        <w:spacing w:before="0" w:beforeAutospacing="0" w:after="0" w:afterAutospacing="0" w:line="360" w:lineRule="atLeast"/>
        <w:jc w:val="both"/>
        <w:textAlignment w:val="baseline"/>
        <w:rPr>
          <w:rFonts w:ascii="Times New Roman" w:hAnsi="Times New Roman" w:cs="Times New Roman"/>
          <w:highlight w:val="none"/>
        </w:rPr>
      </w:pPr>
      <w:r>
        <w:rPr>
          <w:rFonts w:ascii="Times New Roman" w:hAnsi="Times New Roman" w:cs="Times New Roman"/>
          <w:highlight w:val="none"/>
        </w:rPr>
        <w:t xml:space="preserve"> </w:t>
      </w:r>
    </w:p>
    <w:p w14:paraId="2FBC675C">
      <w:pPr>
        <w:pStyle w:val="22"/>
        <w:widowControl w:val="0"/>
        <w:adjustRightInd w:val="0"/>
        <w:spacing w:before="0" w:beforeAutospacing="0" w:after="0" w:afterAutospacing="0" w:line="360" w:lineRule="atLeast"/>
        <w:jc w:val="both"/>
        <w:textAlignment w:val="baseline"/>
        <w:rPr>
          <w:rFonts w:ascii="Times New Roman" w:hAnsi="Times New Roman" w:cs="Times New Roman"/>
          <w:highlight w:val="none"/>
        </w:rPr>
      </w:pPr>
      <w:r>
        <w:rPr>
          <w:rFonts w:ascii="Times New Roman" w:hAnsi="Times New Roman" w:cs="Times New Roman"/>
          <w:highlight w:val="none"/>
        </w:rPr>
        <w:t xml:space="preserve"> </w:t>
      </w:r>
    </w:p>
    <w:p w14:paraId="6A780830">
      <w:pPr>
        <w:pStyle w:val="22"/>
        <w:widowControl w:val="0"/>
        <w:adjustRightInd w:val="0"/>
        <w:spacing w:before="0" w:beforeAutospacing="0" w:after="0" w:afterAutospacing="0" w:line="360" w:lineRule="atLeast"/>
        <w:jc w:val="both"/>
        <w:textAlignment w:val="baseline"/>
        <w:rPr>
          <w:rFonts w:ascii="Times New Roman" w:hAnsi="Times New Roman" w:cs="Times New Roman"/>
          <w:highlight w:val="none"/>
        </w:rPr>
      </w:pPr>
      <w:r>
        <w:rPr>
          <w:rFonts w:ascii="Times New Roman" w:hAnsi="Times New Roman" w:cs="Times New Roman"/>
          <w:highlight w:val="none"/>
        </w:rPr>
        <w:t xml:space="preserve"> </w:t>
      </w:r>
    </w:p>
    <w:p w14:paraId="641F7D26">
      <w:pPr>
        <w:pStyle w:val="22"/>
        <w:widowControl w:val="0"/>
        <w:adjustRightInd w:val="0"/>
        <w:spacing w:before="0" w:beforeAutospacing="0" w:after="0" w:afterAutospacing="0" w:line="360" w:lineRule="atLeast"/>
        <w:jc w:val="both"/>
        <w:textAlignment w:val="baseline"/>
        <w:rPr>
          <w:rFonts w:ascii="Times New Roman" w:hAnsi="Times New Roman" w:cs="Times New Roman"/>
          <w:highlight w:val="none"/>
        </w:rPr>
      </w:pPr>
      <w:r>
        <w:rPr>
          <w:rFonts w:ascii="Times New Roman" w:hAnsi="Times New Roman" w:cs="Times New Roman"/>
          <w:highlight w:val="none"/>
        </w:rPr>
        <w:t xml:space="preserve"> </w:t>
      </w:r>
    </w:p>
    <w:p w14:paraId="01E313F9">
      <w:pPr>
        <w:pStyle w:val="22"/>
        <w:widowControl w:val="0"/>
        <w:adjustRightInd w:val="0"/>
        <w:spacing w:before="0" w:beforeAutospacing="0" w:after="0" w:afterAutospacing="0" w:line="360" w:lineRule="atLeast"/>
        <w:jc w:val="both"/>
        <w:textAlignment w:val="baseline"/>
        <w:rPr>
          <w:rFonts w:ascii="Times New Roman" w:hAnsi="Times New Roman" w:cs="Times New Roman"/>
          <w:highlight w:val="none"/>
        </w:rPr>
      </w:pPr>
      <w:r>
        <w:rPr>
          <w:rFonts w:ascii="Times New Roman" w:hAnsi="Times New Roman" w:cs="Times New Roman"/>
          <w:highlight w:val="none"/>
        </w:rPr>
        <w:t xml:space="preserve"> </w:t>
      </w:r>
    </w:p>
    <w:p w14:paraId="39262F34">
      <w:pPr>
        <w:pStyle w:val="22"/>
        <w:widowControl w:val="0"/>
        <w:adjustRightInd w:val="0"/>
        <w:spacing w:before="0" w:beforeAutospacing="0" w:after="0" w:afterAutospacing="0" w:line="360" w:lineRule="atLeast"/>
        <w:jc w:val="both"/>
        <w:textAlignment w:val="baseline"/>
        <w:rPr>
          <w:rFonts w:ascii="Times New Roman" w:hAnsi="Times New Roman" w:cs="Times New Roman"/>
          <w:highlight w:val="none"/>
        </w:rPr>
      </w:pPr>
      <w:r>
        <w:rPr>
          <w:rFonts w:ascii="Times New Roman" w:hAnsi="Times New Roman" w:cs="Times New Roman"/>
          <w:highlight w:val="none"/>
        </w:rPr>
        <w:t xml:space="preserve"> </w:t>
      </w:r>
    </w:p>
    <w:p w14:paraId="77822EC7">
      <w:pPr>
        <w:rPr>
          <w:color w:val="auto"/>
          <w:sz w:val="24"/>
          <w:szCs w:val="24"/>
          <w:highlight w:val="none"/>
        </w:rPr>
      </w:pPr>
      <w:r>
        <w:rPr>
          <w:color w:val="auto"/>
          <w:sz w:val="24"/>
          <w:szCs w:val="24"/>
          <w:highlight w:val="none"/>
        </w:rPr>
        <w:br w:type="page"/>
      </w:r>
    </w:p>
    <w:p w14:paraId="2299A872">
      <w:pPr>
        <w:pageBreakBefore/>
        <w:spacing w:line="360" w:lineRule="exact"/>
        <w:rPr>
          <w:rFonts w:ascii="宋体" w:hAnsi="宋体"/>
          <w:b/>
          <w:color w:val="auto"/>
          <w:sz w:val="30"/>
          <w:szCs w:val="30"/>
          <w:highlight w:val="none"/>
        </w:rPr>
      </w:pPr>
      <w:r>
        <w:rPr>
          <w:rFonts w:hint="eastAsia" w:ascii="宋体" w:hAnsi="宋体"/>
          <w:b/>
          <w:color w:val="auto"/>
          <w:sz w:val="30"/>
          <w:szCs w:val="30"/>
          <w:highlight w:val="none"/>
        </w:rPr>
        <w:t>附件4</w:t>
      </w:r>
    </w:p>
    <w:p w14:paraId="53069AE2">
      <w:pPr>
        <w:pStyle w:val="3"/>
        <w:ind w:left="2020" w:firstLine="0"/>
        <w:rPr>
          <w:highlight w:val="none"/>
        </w:rPr>
      </w:pPr>
    </w:p>
    <w:p w14:paraId="24ADB52D">
      <w:pPr>
        <w:spacing w:line="360" w:lineRule="exact"/>
        <w:ind w:firstLine="531" w:firstLineChars="147"/>
        <w:jc w:val="center"/>
        <w:rPr>
          <w:rFonts w:ascii="宋体"/>
          <w:b/>
          <w:color w:val="auto"/>
          <w:sz w:val="36"/>
          <w:szCs w:val="36"/>
          <w:highlight w:val="none"/>
        </w:rPr>
      </w:pPr>
      <w:r>
        <w:rPr>
          <w:rFonts w:hint="eastAsia" w:ascii="宋体"/>
          <w:b/>
          <w:color w:val="auto"/>
          <w:sz w:val="36"/>
          <w:szCs w:val="36"/>
          <w:highlight w:val="none"/>
        </w:rPr>
        <w:t>开标一览表</w:t>
      </w:r>
    </w:p>
    <w:p w14:paraId="66E700A0">
      <w:pPr>
        <w:pStyle w:val="3"/>
        <w:ind w:left="2020" w:firstLine="0"/>
        <w:rPr>
          <w:highlight w:val="none"/>
        </w:rPr>
      </w:pPr>
    </w:p>
    <w:p w14:paraId="0C80C25D">
      <w:pPr>
        <w:spacing w:line="360" w:lineRule="exact"/>
        <w:ind w:firstLine="354" w:firstLineChars="147"/>
        <w:rPr>
          <w:rFonts w:ascii="宋体"/>
          <w:b/>
          <w:color w:val="auto"/>
          <w:sz w:val="24"/>
          <w:highlight w:val="none"/>
        </w:rPr>
      </w:pPr>
    </w:p>
    <w:p w14:paraId="0C7CA765">
      <w:pPr>
        <w:spacing w:line="360" w:lineRule="exact"/>
        <w:rPr>
          <w:rFonts w:ascii="宋体"/>
          <w:color w:val="auto"/>
          <w:sz w:val="24"/>
          <w:highlight w:val="none"/>
        </w:rPr>
      </w:pPr>
      <w:r>
        <w:rPr>
          <w:rFonts w:hint="eastAsia" w:ascii="宋体"/>
          <w:color w:val="auto"/>
          <w:sz w:val="24"/>
          <w:highlight w:val="none"/>
        </w:rPr>
        <w:t>（</w:t>
      </w:r>
      <w:r>
        <w:rPr>
          <w:rFonts w:hint="eastAsia"/>
          <w:sz w:val="24"/>
          <w:szCs w:val="24"/>
          <w:highlight w:val="none"/>
        </w:rPr>
        <w:t>注：开标一览表必须编入投标文件，唱标时，以投标文件中的开标一览表进行唱标</w:t>
      </w:r>
      <w:r>
        <w:rPr>
          <w:rFonts w:hint="eastAsia" w:ascii="宋体"/>
          <w:color w:val="auto"/>
          <w:sz w:val="24"/>
          <w:highlight w:val="none"/>
        </w:rPr>
        <w:t>）</w:t>
      </w:r>
    </w:p>
    <w:p w14:paraId="72D08C05">
      <w:pPr>
        <w:snapToGrid w:val="0"/>
        <w:spacing w:line="460" w:lineRule="exact"/>
        <w:ind w:left="2940" w:leftChars="1400" w:firstLine="720" w:firstLineChars="300"/>
        <w:rPr>
          <w:rFonts w:ascii="宋体"/>
          <w:color w:val="auto"/>
          <w:sz w:val="24"/>
          <w:highlight w:val="none"/>
        </w:rPr>
      </w:pPr>
    </w:p>
    <w:tbl>
      <w:tblPr>
        <w:tblStyle w:val="26"/>
        <w:tblW w:w="9261"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7458"/>
      </w:tblGrid>
      <w:tr w14:paraId="737C66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350" w:hRule="exact"/>
        </w:trPr>
        <w:tc>
          <w:tcPr>
            <w:tcW w:w="1803" w:type="dxa"/>
            <w:tcBorders>
              <w:top w:val="single" w:color="auto" w:sz="12" w:space="0"/>
              <w:bottom w:val="single" w:color="auto" w:sz="12" w:space="0"/>
              <w:right w:val="single" w:color="auto" w:sz="12" w:space="0"/>
            </w:tcBorders>
            <w:vAlign w:val="center"/>
          </w:tcPr>
          <w:p w14:paraId="76A15B30">
            <w:pPr>
              <w:spacing w:line="460" w:lineRule="exact"/>
              <w:jc w:val="center"/>
              <w:rPr>
                <w:rFonts w:ascii="宋体"/>
                <w:color w:val="auto"/>
                <w:sz w:val="24"/>
                <w:highlight w:val="none"/>
              </w:rPr>
            </w:pPr>
            <w:r>
              <w:rPr>
                <w:rFonts w:hint="eastAsia" w:ascii="宋体"/>
                <w:color w:val="auto"/>
                <w:sz w:val="24"/>
                <w:highlight w:val="none"/>
              </w:rPr>
              <w:t>项目名称</w:t>
            </w:r>
          </w:p>
        </w:tc>
        <w:tc>
          <w:tcPr>
            <w:tcW w:w="7458" w:type="dxa"/>
            <w:tcBorders>
              <w:top w:val="single" w:color="auto" w:sz="12" w:space="0"/>
              <w:left w:val="single" w:color="auto" w:sz="12" w:space="0"/>
              <w:bottom w:val="single" w:color="auto" w:sz="12" w:space="0"/>
            </w:tcBorders>
            <w:vAlign w:val="center"/>
          </w:tcPr>
          <w:p w14:paraId="150E8CBD">
            <w:pPr>
              <w:spacing w:line="360" w:lineRule="auto"/>
              <w:jc w:val="left"/>
              <w:rPr>
                <w:color w:val="auto"/>
                <w:sz w:val="24"/>
                <w:highlight w:val="none"/>
              </w:rPr>
            </w:pPr>
            <w:r>
              <w:rPr>
                <w:rFonts w:hint="eastAsia"/>
                <w:color w:val="auto"/>
                <w:sz w:val="24"/>
                <w:highlight w:val="none"/>
              </w:rPr>
              <w:t xml:space="preserve"> </w:t>
            </w:r>
          </w:p>
        </w:tc>
      </w:tr>
      <w:tr w14:paraId="34EA76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22" w:hRule="exact"/>
        </w:trPr>
        <w:tc>
          <w:tcPr>
            <w:tcW w:w="1803" w:type="dxa"/>
            <w:tcBorders>
              <w:top w:val="single" w:color="auto" w:sz="12" w:space="0"/>
              <w:right w:val="single" w:color="auto" w:sz="12" w:space="0"/>
            </w:tcBorders>
            <w:vAlign w:val="center"/>
          </w:tcPr>
          <w:p w14:paraId="70DBABAF">
            <w:pPr>
              <w:spacing w:line="460" w:lineRule="exact"/>
              <w:jc w:val="center"/>
              <w:rPr>
                <w:rFonts w:ascii="宋体"/>
                <w:color w:val="auto"/>
                <w:sz w:val="24"/>
                <w:highlight w:val="none"/>
              </w:rPr>
            </w:pPr>
            <w:r>
              <w:rPr>
                <w:rFonts w:hint="eastAsia" w:ascii="宋体"/>
                <w:color w:val="auto"/>
                <w:sz w:val="24"/>
                <w:highlight w:val="none"/>
              </w:rPr>
              <w:t>项目编号</w:t>
            </w:r>
          </w:p>
        </w:tc>
        <w:tc>
          <w:tcPr>
            <w:tcW w:w="7458" w:type="dxa"/>
            <w:tcBorders>
              <w:top w:val="single" w:color="auto" w:sz="12" w:space="0"/>
              <w:left w:val="single" w:color="auto" w:sz="12" w:space="0"/>
            </w:tcBorders>
            <w:vAlign w:val="center"/>
          </w:tcPr>
          <w:p w14:paraId="290E0DCF">
            <w:pPr>
              <w:jc w:val="center"/>
              <w:rPr>
                <w:rFonts w:ascii="宋体"/>
                <w:color w:val="auto"/>
                <w:sz w:val="24"/>
                <w:highlight w:val="none"/>
              </w:rPr>
            </w:pPr>
            <w:r>
              <w:rPr>
                <w:rFonts w:hint="eastAsia" w:ascii="宋体"/>
                <w:color w:val="auto"/>
                <w:sz w:val="24"/>
                <w:highlight w:val="none"/>
              </w:rPr>
              <w:t>/</w:t>
            </w:r>
          </w:p>
        </w:tc>
      </w:tr>
      <w:tr w14:paraId="79EBDA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18" w:hRule="exact"/>
        </w:trPr>
        <w:tc>
          <w:tcPr>
            <w:tcW w:w="1803" w:type="dxa"/>
            <w:tcBorders>
              <w:right w:val="single" w:color="auto" w:sz="12" w:space="0"/>
            </w:tcBorders>
            <w:vAlign w:val="center"/>
          </w:tcPr>
          <w:p w14:paraId="51B4000C">
            <w:pPr>
              <w:spacing w:line="460" w:lineRule="exact"/>
              <w:ind w:firstLine="120" w:firstLineChars="50"/>
              <w:rPr>
                <w:rFonts w:ascii="宋体"/>
                <w:color w:val="auto"/>
                <w:sz w:val="24"/>
                <w:highlight w:val="none"/>
              </w:rPr>
            </w:pPr>
            <w:r>
              <w:rPr>
                <w:rFonts w:hint="eastAsia" w:ascii="宋体"/>
                <w:color w:val="auto"/>
                <w:sz w:val="24"/>
                <w:highlight w:val="none"/>
              </w:rPr>
              <w:t>投标人名称</w:t>
            </w:r>
          </w:p>
        </w:tc>
        <w:tc>
          <w:tcPr>
            <w:tcW w:w="7458" w:type="dxa"/>
            <w:tcBorders>
              <w:left w:val="single" w:color="auto" w:sz="12" w:space="0"/>
            </w:tcBorders>
          </w:tcPr>
          <w:p w14:paraId="349666C9">
            <w:pPr>
              <w:pStyle w:val="13"/>
              <w:spacing w:line="460" w:lineRule="exact"/>
              <w:ind w:left="86" w:leftChars="41"/>
              <w:rPr>
                <w:rFonts w:ascii="宋体" w:eastAsia="宋体"/>
                <w:sz w:val="24"/>
                <w:szCs w:val="24"/>
                <w:highlight w:val="none"/>
              </w:rPr>
            </w:pPr>
          </w:p>
        </w:tc>
      </w:tr>
      <w:tr w14:paraId="2EA3F7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331" w:hRule="exact"/>
        </w:trPr>
        <w:tc>
          <w:tcPr>
            <w:tcW w:w="1803" w:type="dxa"/>
            <w:tcBorders>
              <w:right w:val="single" w:color="auto" w:sz="12" w:space="0"/>
            </w:tcBorders>
            <w:vAlign w:val="center"/>
          </w:tcPr>
          <w:p w14:paraId="6B959F8F">
            <w:pPr>
              <w:spacing w:line="360" w:lineRule="auto"/>
              <w:jc w:val="center"/>
              <w:rPr>
                <w:rFonts w:ascii="宋体"/>
                <w:color w:val="auto"/>
                <w:sz w:val="24"/>
                <w:highlight w:val="none"/>
              </w:rPr>
            </w:pPr>
            <w:r>
              <w:rPr>
                <w:rFonts w:hint="eastAsia" w:ascii="宋体"/>
                <w:color w:val="auto"/>
                <w:sz w:val="24"/>
                <w:highlight w:val="none"/>
              </w:rPr>
              <w:t>总投标价\服务期</w:t>
            </w:r>
          </w:p>
        </w:tc>
        <w:tc>
          <w:tcPr>
            <w:tcW w:w="7458" w:type="dxa"/>
            <w:tcBorders>
              <w:left w:val="single" w:color="auto" w:sz="12" w:space="0"/>
            </w:tcBorders>
            <w:vAlign w:val="center"/>
          </w:tcPr>
          <w:p w14:paraId="61925C98">
            <w:pPr>
              <w:spacing w:line="360" w:lineRule="auto"/>
              <w:rPr>
                <w:rFonts w:ascii="宋体"/>
                <w:color w:val="auto"/>
                <w:sz w:val="24"/>
                <w:highlight w:val="none"/>
              </w:rPr>
            </w:pPr>
            <w:r>
              <w:rPr>
                <w:rFonts w:hint="eastAsia" w:ascii="宋体"/>
                <w:color w:val="auto"/>
                <w:sz w:val="24"/>
                <w:highlight w:val="none"/>
              </w:rPr>
              <w:t>总投标价 （大写）：</w:t>
            </w:r>
            <w:r>
              <w:rPr>
                <w:rFonts w:hint="eastAsia" w:ascii="宋体"/>
                <w:color w:val="auto"/>
                <w:sz w:val="24"/>
                <w:highlight w:val="none"/>
                <w:u w:val="single"/>
              </w:rPr>
              <w:t xml:space="preserve">                   </w:t>
            </w:r>
            <w:r>
              <w:rPr>
                <w:rFonts w:hint="eastAsia" w:ascii="宋体"/>
                <w:color w:val="auto"/>
                <w:sz w:val="24"/>
                <w:highlight w:val="none"/>
              </w:rPr>
              <w:t>元</w:t>
            </w:r>
          </w:p>
          <w:p w14:paraId="54B222A6">
            <w:pPr>
              <w:spacing w:line="360" w:lineRule="auto"/>
              <w:ind w:firstLine="1080" w:firstLineChars="450"/>
              <w:rPr>
                <w:rFonts w:ascii="宋体"/>
                <w:color w:val="auto"/>
                <w:sz w:val="24"/>
                <w:highlight w:val="none"/>
              </w:rPr>
            </w:pPr>
            <w:r>
              <w:rPr>
                <w:rFonts w:hint="eastAsia" w:ascii="宋体"/>
                <w:color w:val="auto"/>
                <w:sz w:val="24"/>
                <w:highlight w:val="none"/>
              </w:rPr>
              <w:t>(小写) ：</w:t>
            </w:r>
            <w:r>
              <w:rPr>
                <w:rFonts w:hint="eastAsia" w:ascii="宋体"/>
                <w:color w:val="auto"/>
                <w:sz w:val="24"/>
                <w:highlight w:val="none"/>
                <w:u w:val="single"/>
              </w:rPr>
              <w:t xml:space="preserve">                    </w:t>
            </w:r>
            <w:r>
              <w:rPr>
                <w:rFonts w:hint="eastAsia" w:ascii="宋体"/>
                <w:color w:val="auto"/>
                <w:sz w:val="24"/>
                <w:highlight w:val="none"/>
              </w:rPr>
              <w:t>元</w:t>
            </w:r>
          </w:p>
          <w:p w14:paraId="1F160D87">
            <w:pPr>
              <w:spacing w:line="360" w:lineRule="auto"/>
              <w:ind w:firstLine="1200" w:firstLineChars="500"/>
              <w:rPr>
                <w:rFonts w:ascii="宋体" w:hAnsi="宋体"/>
                <w:color w:val="auto"/>
                <w:sz w:val="24"/>
                <w:highlight w:val="none"/>
              </w:rPr>
            </w:pPr>
          </w:p>
          <w:p w14:paraId="35B78F00">
            <w:pPr>
              <w:rPr>
                <w:color w:val="auto"/>
                <w:sz w:val="24"/>
                <w:highlight w:val="none"/>
                <w:u w:val="single"/>
              </w:rPr>
            </w:pPr>
            <w:r>
              <w:rPr>
                <w:rFonts w:hint="eastAsia" w:cs="宋体"/>
                <w:color w:val="auto"/>
                <w:sz w:val="24"/>
                <w:highlight w:val="none"/>
              </w:rPr>
              <w:t>服务期</w:t>
            </w:r>
            <w:r>
              <w:rPr>
                <w:rFonts w:hint="eastAsia" w:cs="宋体"/>
                <w:color w:val="auto"/>
                <w:sz w:val="24"/>
                <w:szCs w:val="24"/>
                <w:highlight w:val="none"/>
              </w:rPr>
              <w:t>：</w:t>
            </w:r>
            <w:r>
              <w:rPr>
                <w:rFonts w:hint="eastAsia" w:cs="宋体"/>
                <w:color w:val="auto"/>
                <w:sz w:val="24"/>
                <w:szCs w:val="24"/>
                <w:highlight w:val="none"/>
                <w:u w:val="single"/>
              </w:rPr>
              <w:t xml:space="preserve">    </w:t>
            </w:r>
            <w:r>
              <w:rPr>
                <w:rFonts w:hint="eastAsia" w:cs="宋体"/>
                <w:color w:val="auto"/>
                <w:sz w:val="24"/>
                <w:szCs w:val="24"/>
                <w:highlight w:val="none"/>
              </w:rPr>
              <w:t>。</w:t>
            </w:r>
            <w:r>
              <w:rPr>
                <w:rFonts w:hint="eastAsia" w:ascii="宋体" w:hAnsi="宋体" w:cs="宋体"/>
                <w:sz w:val="24"/>
                <w:szCs w:val="24"/>
                <w:highlight w:val="none"/>
              </w:rPr>
              <w:t xml:space="preserve"> </w:t>
            </w:r>
          </w:p>
        </w:tc>
      </w:tr>
    </w:tbl>
    <w:p w14:paraId="0E1EFAB5">
      <w:pPr>
        <w:snapToGrid w:val="0"/>
        <w:spacing w:line="360" w:lineRule="exact"/>
        <w:ind w:left="2940" w:leftChars="1400" w:firstLine="723" w:firstLineChars="300"/>
        <w:rPr>
          <w:rFonts w:ascii="宋体"/>
          <w:b/>
          <w:color w:val="auto"/>
          <w:sz w:val="24"/>
          <w:highlight w:val="none"/>
        </w:rPr>
      </w:pPr>
    </w:p>
    <w:p w14:paraId="569D8032">
      <w:pPr>
        <w:snapToGrid w:val="0"/>
        <w:spacing w:line="360" w:lineRule="exact"/>
        <w:ind w:left="2" w:firstLine="178" w:firstLineChars="74"/>
        <w:jc w:val="left"/>
        <w:rPr>
          <w:rFonts w:ascii="宋体"/>
          <w:b/>
          <w:color w:val="auto"/>
          <w:sz w:val="24"/>
          <w:highlight w:val="none"/>
        </w:rPr>
      </w:pPr>
    </w:p>
    <w:p w14:paraId="17566E5C">
      <w:pPr>
        <w:snapToGrid w:val="0"/>
        <w:spacing w:line="360" w:lineRule="exact"/>
        <w:rPr>
          <w:rFonts w:ascii="宋体"/>
          <w:b/>
          <w:color w:val="auto"/>
          <w:sz w:val="24"/>
          <w:highlight w:val="none"/>
        </w:rPr>
      </w:pPr>
    </w:p>
    <w:p w14:paraId="166DDDAD">
      <w:pPr>
        <w:rPr>
          <w:rFonts w:ascii="宋体"/>
          <w:color w:val="auto"/>
          <w:sz w:val="24"/>
          <w:highlight w:val="none"/>
        </w:rPr>
      </w:pPr>
      <w:r>
        <w:rPr>
          <w:rFonts w:hint="eastAsia" w:ascii="宋体"/>
          <w:color w:val="auto"/>
          <w:sz w:val="24"/>
          <w:highlight w:val="none"/>
        </w:rPr>
        <w:t>法定代表人或其委托代理人（签字或盖章）：         投标人（盖单位章）：</w:t>
      </w:r>
    </w:p>
    <w:p w14:paraId="4CA4270F">
      <w:pPr>
        <w:pStyle w:val="25"/>
        <w:ind w:firstLine="420"/>
        <w:rPr>
          <w:highlight w:val="none"/>
        </w:rPr>
      </w:pPr>
    </w:p>
    <w:p w14:paraId="5E06C0EB">
      <w:pPr>
        <w:snapToGrid w:val="0"/>
        <w:spacing w:beforeLines="100" w:afterLines="100" w:line="360" w:lineRule="auto"/>
        <w:jc w:val="center"/>
        <w:rPr>
          <w:rFonts w:cs="Arial"/>
          <w:b/>
          <w:bCs/>
          <w:color w:val="auto"/>
          <w:sz w:val="30"/>
          <w:szCs w:val="30"/>
          <w:highlight w:val="none"/>
        </w:rPr>
        <w:sectPr>
          <w:pgSz w:w="11906" w:h="16838"/>
          <w:pgMar w:top="1440" w:right="1800" w:bottom="1440" w:left="1800" w:header="851" w:footer="992" w:gutter="0"/>
          <w:cols w:space="720" w:num="1"/>
          <w:docGrid w:type="lines" w:linePitch="312" w:charSpace="0"/>
        </w:sectPr>
      </w:pPr>
      <w:r>
        <w:rPr>
          <w:rFonts w:hint="eastAsia" w:ascii="宋体"/>
          <w:color w:val="auto"/>
          <w:sz w:val="24"/>
          <w:highlight w:val="none"/>
        </w:rPr>
        <w:t xml:space="preserve">                                      日  期：    年  月  日 </w:t>
      </w:r>
    </w:p>
    <w:p w14:paraId="6AF56407">
      <w:pPr>
        <w:spacing w:line="360" w:lineRule="exact"/>
        <w:ind w:firstLine="443" w:firstLineChars="147"/>
        <w:rPr>
          <w:rFonts w:ascii="宋体"/>
          <w:b/>
          <w:color w:val="auto"/>
          <w:sz w:val="30"/>
          <w:szCs w:val="30"/>
          <w:highlight w:val="none"/>
        </w:rPr>
      </w:pPr>
      <w:r>
        <w:rPr>
          <w:rFonts w:hint="eastAsia" w:ascii="宋体"/>
          <w:b/>
          <w:color w:val="auto"/>
          <w:sz w:val="30"/>
          <w:szCs w:val="30"/>
          <w:highlight w:val="none"/>
        </w:rPr>
        <w:t>附件5</w:t>
      </w:r>
    </w:p>
    <w:p w14:paraId="16C66432">
      <w:pPr>
        <w:spacing w:line="360" w:lineRule="exact"/>
        <w:ind w:firstLine="531" w:firstLineChars="147"/>
        <w:jc w:val="center"/>
        <w:rPr>
          <w:rFonts w:ascii="宋体"/>
          <w:b/>
          <w:color w:val="auto"/>
          <w:sz w:val="36"/>
          <w:szCs w:val="36"/>
          <w:highlight w:val="none"/>
        </w:rPr>
      </w:pPr>
      <w:r>
        <w:rPr>
          <w:rFonts w:hint="eastAsia" w:ascii="宋体"/>
          <w:b/>
          <w:color w:val="auto"/>
          <w:sz w:val="36"/>
          <w:szCs w:val="36"/>
          <w:highlight w:val="none"/>
        </w:rPr>
        <w:t>投  标  函</w:t>
      </w:r>
    </w:p>
    <w:p w14:paraId="090A40D2">
      <w:pPr>
        <w:spacing w:line="440" w:lineRule="exact"/>
        <w:rPr>
          <w:rFonts w:ascii="宋体"/>
          <w:color w:val="auto"/>
          <w:sz w:val="24"/>
          <w:highlight w:val="none"/>
        </w:rPr>
      </w:pPr>
    </w:p>
    <w:p w14:paraId="12EBC941">
      <w:pPr>
        <w:spacing w:line="560" w:lineRule="exact"/>
        <w:rPr>
          <w:rFonts w:ascii="宋体"/>
          <w:color w:val="auto"/>
          <w:sz w:val="24"/>
          <w:highlight w:val="none"/>
        </w:rPr>
      </w:pPr>
      <w:r>
        <w:rPr>
          <w:rFonts w:hint="eastAsia" w:ascii="宋体"/>
          <w:color w:val="auto"/>
          <w:sz w:val="24"/>
          <w:highlight w:val="none"/>
        </w:rPr>
        <w:t>致：</w:t>
      </w:r>
      <w:r>
        <w:rPr>
          <w:rFonts w:hint="eastAsia" w:ascii="宋体"/>
          <w:color w:val="auto"/>
          <w:sz w:val="24"/>
          <w:highlight w:val="none"/>
          <w:u w:val="single"/>
        </w:rPr>
        <w:t xml:space="preserve">       (招标人) ：      </w:t>
      </w:r>
      <w:r>
        <w:rPr>
          <w:rFonts w:hint="eastAsia" w:ascii="宋体"/>
          <w:color w:val="auto"/>
          <w:sz w:val="24"/>
          <w:highlight w:val="none"/>
        </w:rPr>
        <w:t xml:space="preserve"> </w:t>
      </w:r>
    </w:p>
    <w:p w14:paraId="0F650038">
      <w:pPr>
        <w:spacing w:line="560" w:lineRule="exact"/>
        <w:ind w:firstLine="480" w:firstLineChars="200"/>
        <w:rPr>
          <w:color w:val="auto"/>
          <w:sz w:val="24"/>
          <w:szCs w:val="24"/>
          <w:highlight w:val="none"/>
        </w:rPr>
      </w:pPr>
      <w:r>
        <w:rPr>
          <w:rFonts w:hint="eastAsia"/>
          <w:color w:val="auto"/>
          <w:sz w:val="24"/>
          <w:szCs w:val="24"/>
          <w:highlight w:val="none"/>
        </w:rPr>
        <w:t>1、</w:t>
      </w:r>
      <w:r>
        <w:rPr>
          <w:rFonts w:hint="eastAsia"/>
          <w:color w:val="auto"/>
          <w:sz w:val="24"/>
          <w:szCs w:val="24"/>
          <w:highlight w:val="none"/>
          <w:u w:val="single"/>
        </w:rPr>
        <w:t xml:space="preserve">（投标人全称） </w:t>
      </w:r>
      <w:r>
        <w:rPr>
          <w:rFonts w:hint="eastAsia"/>
          <w:color w:val="auto"/>
          <w:sz w:val="24"/>
          <w:szCs w:val="24"/>
          <w:highlight w:val="none"/>
        </w:rPr>
        <w:t>授权</w:t>
      </w:r>
      <w:r>
        <w:rPr>
          <w:rFonts w:hint="eastAsia"/>
          <w:color w:val="auto"/>
          <w:sz w:val="24"/>
          <w:szCs w:val="24"/>
          <w:highlight w:val="none"/>
          <w:u w:val="single"/>
        </w:rPr>
        <w:t xml:space="preserve">（全权代表姓名、职务） </w:t>
      </w:r>
      <w:r>
        <w:rPr>
          <w:rFonts w:hint="eastAsia"/>
          <w:color w:val="auto"/>
          <w:sz w:val="24"/>
          <w:szCs w:val="24"/>
          <w:highlight w:val="none"/>
        </w:rPr>
        <w:t>为本公司合法代理人，参加贵方组织的</w:t>
      </w:r>
      <w:r>
        <w:rPr>
          <w:rFonts w:hint="eastAsia"/>
          <w:color w:val="auto"/>
          <w:sz w:val="24"/>
          <w:szCs w:val="24"/>
          <w:highlight w:val="none"/>
          <w:u w:val="single"/>
        </w:rPr>
        <w:t xml:space="preserve">（招标项目名称） </w:t>
      </w:r>
      <w:r>
        <w:rPr>
          <w:rFonts w:hint="eastAsia"/>
          <w:color w:val="auto"/>
          <w:sz w:val="24"/>
          <w:szCs w:val="24"/>
          <w:highlight w:val="none"/>
        </w:rPr>
        <w:t xml:space="preserve">招投标活动，代表本公司处理招投标活动中的一切事宜。 </w:t>
      </w:r>
    </w:p>
    <w:p w14:paraId="627E07B2">
      <w:pPr>
        <w:spacing w:line="5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 xml:space="preserve">2、我方愿意按照招标文件规定的各项要求，向招标人提供“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”项目的货物与服务，总投标价为人民币（大写）</w:t>
      </w:r>
      <w:r>
        <w:rPr>
          <w:rFonts w:hint="eastAsia" w:ascii="宋体" w:hAnsi="宋体"/>
          <w:color w:val="auto"/>
          <w:sz w:val="24"/>
          <w:szCs w:val="24"/>
          <w:highlight w:val="none"/>
          <w:u w:val="single"/>
        </w:rPr>
        <w:t xml:space="preserve">               （小写：       ） </w:t>
      </w:r>
      <w:r>
        <w:rPr>
          <w:rFonts w:hint="eastAsia" w:ascii="宋体"/>
          <w:sz w:val="24"/>
          <w:szCs w:val="24"/>
          <w:highlight w:val="none"/>
        </w:rPr>
        <w:t>。</w:t>
      </w:r>
    </w:p>
    <w:p w14:paraId="4262099A">
      <w:pPr>
        <w:spacing w:line="560" w:lineRule="exact"/>
        <w:ind w:firstLine="480" w:firstLineChars="200"/>
        <w:rPr>
          <w:color w:val="auto"/>
          <w:sz w:val="24"/>
          <w:szCs w:val="24"/>
          <w:highlight w:val="none"/>
        </w:rPr>
      </w:pPr>
      <w:r>
        <w:rPr>
          <w:rFonts w:hint="eastAsia" w:ascii="宋体" w:hAnsi="宋体"/>
          <w:color w:val="auto"/>
          <w:sz w:val="24"/>
          <w:szCs w:val="24"/>
          <w:highlight w:val="none"/>
        </w:rPr>
        <w:t>3、一旦我方成为合同签字人，我方将严格履行合同规定的责任和义务</w:t>
      </w:r>
      <w:r>
        <w:rPr>
          <w:rFonts w:hint="eastAsia"/>
          <w:color w:val="auto"/>
          <w:sz w:val="24"/>
          <w:szCs w:val="24"/>
          <w:highlight w:val="none"/>
        </w:rPr>
        <w:t>。</w:t>
      </w:r>
    </w:p>
    <w:p w14:paraId="69109300">
      <w:pPr>
        <w:spacing w:line="560" w:lineRule="exact"/>
        <w:ind w:firstLine="240" w:firstLineChars="100"/>
        <w:rPr>
          <w:color w:val="auto"/>
          <w:sz w:val="24"/>
          <w:szCs w:val="24"/>
          <w:highlight w:val="none"/>
        </w:rPr>
      </w:pPr>
      <w:r>
        <w:rPr>
          <w:rFonts w:hint="eastAsia"/>
          <w:color w:val="auto"/>
          <w:sz w:val="24"/>
          <w:szCs w:val="24"/>
          <w:highlight w:val="none"/>
        </w:rPr>
        <w:t xml:space="preserve">  4、若我方中标，愿意为本项目提交的纸质投标书一式三份，其中正本一份、副本二份。</w:t>
      </w:r>
    </w:p>
    <w:p w14:paraId="0B9F27D6">
      <w:pPr>
        <w:spacing w:line="56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5、我方愿意提供可能另外要求的、与采购投标有关的文件资料，并保证我方已提供和将要提供的文件是真实的、准确的。</w:t>
      </w:r>
    </w:p>
    <w:p w14:paraId="50C39C72">
      <w:pPr>
        <w:spacing w:line="560" w:lineRule="exact"/>
        <w:ind w:firstLine="480" w:firstLineChars="200"/>
        <w:rPr>
          <w:color w:val="auto"/>
          <w:sz w:val="24"/>
          <w:szCs w:val="24"/>
          <w:highlight w:val="none"/>
        </w:rPr>
      </w:pPr>
      <w:r>
        <w:rPr>
          <w:rFonts w:hint="eastAsia" w:ascii="宋体" w:hAnsi="宋体"/>
          <w:color w:val="auto"/>
          <w:sz w:val="24"/>
          <w:szCs w:val="24"/>
          <w:highlight w:val="none"/>
        </w:rPr>
        <w:t>6、</w:t>
      </w:r>
      <w:r>
        <w:rPr>
          <w:rFonts w:hint="eastAsia" w:ascii="宋体"/>
          <w:b/>
          <w:bCs/>
          <w:color w:val="auto"/>
          <w:sz w:val="24"/>
          <w:szCs w:val="24"/>
          <w:highlight w:val="none"/>
        </w:rPr>
        <w:t>我单位提供如下通讯地址：电子邮箱（地址）</w:t>
      </w:r>
      <w:r>
        <w:rPr>
          <w:rFonts w:hint="eastAsia" w:ascii="宋体"/>
          <w:b/>
          <w:bCs/>
          <w:color w:val="auto"/>
          <w:sz w:val="24"/>
          <w:szCs w:val="24"/>
          <w:highlight w:val="none"/>
          <w:u w:val="single"/>
        </w:rPr>
        <w:t xml:space="preserve">                       </w:t>
      </w:r>
      <w:r>
        <w:rPr>
          <w:rFonts w:hint="eastAsia" w:ascii="宋体"/>
          <w:b/>
          <w:bCs/>
          <w:color w:val="auto"/>
          <w:sz w:val="24"/>
          <w:szCs w:val="24"/>
          <w:highlight w:val="none"/>
        </w:rPr>
        <w:t>，我单位确认本项目相关法律文书均通过我单位提供的以上地址送达，相关文书只要发送至以上电子邮箱（地址）即视为送达，我单位愿意承担一切法律后果。</w:t>
      </w:r>
      <w:r>
        <w:rPr>
          <w:rFonts w:hint="eastAsia"/>
          <w:color w:val="auto"/>
          <w:sz w:val="24"/>
          <w:szCs w:val="24"/>
          <w:highlight w:val="none"/>
        </w:rPr>
        <w:t xml:space="preserve"> </w:t>
      </w:r>
    </w:p>
    <w:p w14:paraId="1402D546">
      <w:pPr>
        <w:spacing w:line="360" w:lineRule="auto"/>
        <w:ind w:firstLine="720" w:firstLineChars="300"/>
        <w:rPr>
          <w:color w:val="auto"/>
          <w:sz w:val="24"/>
          <w:szCs w:val="24"/>
          <w:highlight w:val="none"/>
          <w:u w:val="single"/>
        </w:rPr>
      </w:pPr>
    </w:p>
    <w:p w14:paraId="124343D5">
      <w:pPr>
        <w:spacing w:line="360" w:lineRule="auto"/>
        <w:ind w:firstLine="630" w:firstLineChars="300"/>
        <w:rPr>
          <w:color w:val="auto"/>
          <w:szCs w:val="21"/>
          <w:highlight w:val="none"/>
        </w:rPr>
      </w:pPr>
      <w:r>
        <w:rPr>
          <w:rFonts w:hint="eastAsia"/>
          <w:color w:val="auto"/>
          <w:szCs w:val="21"/>
          <w:highlight w:val="none"/>
        </w:rPr>
        <w:t xml:space="preserve"> </w:t>
      </w:r>
    </w:p>
    <w:p w14:paraId="6616B75E">
      <w:pPr>
        <w:spacing w:line="720" w:lineRule="exact"/>
        <w:ind w:firstLine="630" w:firstLineChars="300"/>
        <w:rPr>
          <w:color w:val="auto"/>
          <w:szCs w:val="21"/>
          <w:highlight w:val="none"/>
        </w:rPr>
      </w:pPr>
      <w:r>
        <w:rPr>
          <w:rFonts w:hint="eastAsia"/>
          <w:color w:val="auto"/>
          <w:szCs w:val="21"/>
          <w:highlight w:val="none"/>
        </w:rPr>
        <w:t>投标单位名称（盖单位章）：</w:t>
      </w:r>
    </w:p>
    <w:p w14:paraId="47A48C4E">
      <w:pPr>
        <w:spacing w:line="720" w:lineRule="exact"/>
        <w:ind w:firstLine="630" w:firstLineChars="300"/>
        <w:rPr>
          <w:color w:val="auto"/>
          <w:szCs w:val="21"/>
          <w:highlight w:val="none"/>
          <w:u w:val="single"/>
        </w:rPr>
      </w:pPr>
      <w:r>
        <w:rPr>
          <w:rFonts w:hint="eastAsia"/>
          <w:color w:val="auto"/>
          <w:szCs w:val="21"/>
          <w:highlight w:val="none"/>
        </w:rPr>
        <w:t xml:space="preserve">投标单位法定代表人或其委托代理人（签字或盖章）： </w:t>
      </w:r>
      <w:r>
        <w:rPr>
          <w:rFonts w:hint="eastAsia"/>
          <w:color w:val="auto"/>
          <w:szCs w:val="21"/>
          <w:highlight w:val="none"/>
          <w:u w:val="single"/>
        </w:rPr>
        <w:t xml:space="preserve">                              </w:t>
      </w:r>
    </w:p>
    <w:p w14:paraId="184DAB0C">
      <w:pPr>
        <w:adjustRightInd w:val="0"/>
        <w:snapToGrid w:val="0"/>
        <w:spacing w:line="720" w:lineRule="exact"/>
        <w:ind w:firstLine="630" w:firstLineChars="300"/>
        <w:rPr>
          <w:color w:val="auto"/>
          <w:szCs w:val="21"/>
          <w:highlight w:val="none"/>
          <w:u w:val="single"/>
        </w:rPr>
      </w:pPr>
      <w:r>
        <w:rPr>
          <w:rFonts w:hint="eastAsia"/>
          <w:color w:val="auto"/>
          <w:szCs w:val="21"/>
          <w:highlight w:val="none"/>
        </w:rPr>
        <w:t>日期：</w:t>
      </w:r>
      <w:r>
        <w:rPr>
          <w:rFonts w:hint="eastAsia"/>
          <w:color w:val="auto"/>
          <w:szCs w:val="21"/>
          <w:highlight w:val="none"/>
          <w:u w:val="single"/>
        </w:rPr>
        <w:t xml:space="preserve">      </w:t>
      </w:r>
      <w:r>
        <w:rPr>
          <w:rFonts w:hint="eastAsia"/>
          <w:color w:val="auto"/>
          <w:szCs w:val="21"/>
          <w:highlight w:val="none"/>
        </w:rPr>
        <w:t>年</w:t>
      </w:r>
      <w:r>
        <w:rPr>
          <w:rFonts w:hint="eastAsia"/>
          <w:color w:val="auto"/>
          <w:szCs w:val="21"/>
          <w:highlight w:val="none"/>
          <w:u w:val="single"/>
        </w:rPr>
        <w:t xml:space="preserve">     </w:t>
      </w:r>
      <w:r>
        <w:rPr>
          <w:rFonts w:hint="eastAsia"/>
          <w:color w:val="auto"/>
          <w:szCs w:val="21"/>
          <w:highlight w:val="none"/>
        </w:rPr>
        <w:t>月</w:t>
      </w:r>
      <w:r>
        <w:rPr>
          <w:rFonts w:hint="eastAsia"/>
          <w:color w:val="auto"/>
          <w:szCs w:val="21"/>
          <w:highlight w:val="none"/>
          <w:u w:val="single"/>
        </w:rPr>
        <w:t xml:space="preserve">     </w:t>
      </w:r>
      <w:r>
        <w:rPr>
          <w:rFonts w:hint="eastAsia"/>
          <w:color w:val="auto"/>
          <w:szCs w:val="21"/>
          <w:highlight w:val="none"/>
        </w:rPr>
        <w:t xml:space="preserve">日            </w:t>
      </w:r>
    </w:p>
    <w:p w14:paraId="2B53FDDB">
      <w:pPr>
        <w:spacing w:line="400" w:lineRule="exact"/>
        <w:ind w:firstLine="406" w:firstLineChars="200"/>
        <w:rPr>
          <w:b/>
          <w:bCs/>
          <w:color w:val="auto"/>
          <w:spacing w:val="-4"/>
          <w:highlight w:val="none"/>
        </w:rPr>
      </w:pPr>
      <w:r>
        <w:rPr>
          <w:rFonts w:hint="eastAsia"/>
          <w:b/>
          <w:bCs/>
          <w:color w:val="auto"/>
          <w:spacing w:val="-4"/>
          <w:highlight w:val="none"/>
        </w:rPr>
        <w:t xml:space="preserve"> </w:t>
      </w:r>
    </w:p>
    <w:p w14:paraId="76D2D982">
      <w:pPr>
        <w:pStyle w:val="25"/>
        <w:ind w:firstLine="406"/>
        <w:rPr>
          <w:b/>
          <w:bCs/>
          <w:spacing w:val="-4"/>
          <w:highlight w:val="none"/>
        </w:rPr>
      </w:pPr>
    </w:p>
    <w:bookmarkEnd w:id="0"/>
    <w:p w14:paraId="77E42788">
      <w:pPr>
        <w:rPr>
          <w:rFonts w:ascii="宋体" w:hAnsi="宋体"/>
          <w:b/>
          <w:bCs/>
          <w:color w:val="auto"/>
          <w:sz w:val="32"/>
          <w:highlight w:val="none"/>
        </w:rPr>
      </w:pPr>
    </w:p>
    <w:sectPr>
      <w:footerReference r:id="rId9" w:type="first"/>
      <w:footerReference r:id="rId7" w:type="default"/>
      <w:footerReference r:id="rId8" w:type="even"/>
      <w:pgSz w:w="11906" w:h="16838"/>
      <w:pgMar w:top="1259" w:right="1469" w:bottom="1021" w:left="1259" w:header="284" w:footer="680" w:gutter="0"/>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42B6A">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17910">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33AF6A7">
                          <w:pPr>
                            <w:pStyle w:val="16"/>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033AF6A7">
                    <w:pPr>
                      <w:pStyle w:val="16"/>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01B42">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3D3DDC5">
                          <w:pPr>
                            <w:pStyle w:val="16"/>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53D3DDC5">
                    <w:pPr>
                      <w:pStyle w:val="16"/>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0A6F5">
    <w:pPr>
      <w:pStyle w:val="16"/>
      <w:framePr w:wrap="around" w:vAnchor="text" w:hAnchor="margin" w:xAlign="center" w:y="1"/>
      <w:rPr>
        <w:rStyle w:val="30"/>
      </w:rPr>
    </w:pPr>
    <w:r>
      <w:fldChar w:fldCharType="begin"/>
    </w:r>
    <w:r>
      <w:rPr>
        <w:rStyle w:val="30"/>
      </w:rPr>
      <w:instrText xml:space="preserve">PAGE  </w:instrText>
    </w:r>
    <w:r>
      <w:fldChar w:fldCharType="end"/>
    </w:r>
  </w:p>
  <w:p w14:paraId="3B7F0D26">
    <w:pPr>
      <w:pStyle w:val="1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6845E">
    <w:pPr>
      <w:pStyle w:val="1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DA563BA">
                          <w:pPr>
                            <w:pStyle w:val="16"/>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0DA563BA">
                    <w:pPr>
                      <w:pStyle w:val="16"/>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E8DAF3"/>
    <w:multiLevelType w:val="singleLevel"/>
    <w:tmpl w:val="58E8DAF3"/>
    <w:lvl w:ilvl="0" w:tentative="0">
      <w:start w:val="4"/>
      <w:numFmt w:val="chineseCounting"/>
      <w:suff w:val="space"/>
      <w:lvlText w:val="第%1章"/>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xYWI1YjcxN2I2NDAzODBhYjRiMmY5MDNhMjE4MTgifQ=="/>
  </w:docVars>
  <w:rsids>
    <w:rsidRoot w:val="00172A27"/>
    <w:rsid w:val="00011CA2"/>
    <w:rsid w:val="00022DB1"/>
    <w:rsid w:val="00025429"/>
    <w:rsid w:val="000323B3"/>
    <w:rsid w:val="0003544E"/>
    <w:rsid w:val="000673B2"/>
    <w:rsid w:val="00075C9C"/>
    <w:rsid w:val="000800ED"/>
    <w:rsid w:val="00084BAD"/>
    <w:rsid w:val="0008768B"/>
    <w:rsid w:val="00095C08"/>
    <w:rsid w:val="00097703"/>
    <w:rsid w:val="000C15EA"/>
    <w:rsid w:val="000C3EEC"/>
    <w:rsid w:val="000D1B43"/>
    <w:rsid w:val="000D45C5"/>
    <w:rsid w:val="000F0912"/>
    <w:rsid w:val="000F5208"/>
    <w:rsid w:val="00100D66"/>
    <w:rsid w:val="00115279"/>
    <w:rsid w:val="00121203"/>
    <w:rsid w:val="00122450"/>
    <w:rsid w:val="00127940"/>
    <w:rsid w:val="0013417B"/>
    <w:rsid w:val="00143366"/>
    <w:rsid w:val="001473A7"/>
    <w:rsid w:val="0014740A"/>
    <w:rsid w:val="001524E5"/>
    <w:rsid w:val="00165FF3"/>
    <w:rsid w:val="00172A27"/>
    <w:rsid w:val="00181F73"/>
    <w:rsid w:val="0018740D"/>
    <w:rsid w:val="001909C1"/>
    <w:rsid w:val="001B3C8E"/>
    <w:rsid w:val="001B4DEE"/>
    <w:rsid w:val="001C1917"/>
    <w:rsid w:val="00207AB6"/>
    <w:rsid w:val="00213CF6"/>
    <w:rsid w:val="0021747D"/>
    <w:rsid w:val="0022284F"/>
    <w:rsid w:val="00222B35"/>
    <w:rsid w:val="00235BB6"/>
    <w:rsid w:val="00243741"/>
    <w:rsid w:val="00245B2C"/>
    <w:rsid w:val="00246275"/>
    <w:rsid w:val="002521C7"/>
    <w:rsid w:val="00267868"/>
    <w:rsid w:val="002709CF"/>
    <w:rsid w:val="00270BE1"/>
    <w:rsid w:val="0028134E"/>
    <w:rsid w:val="00282C74"/>
    <w:rsid w:val="002A0289"/>
    <w:rsid w:val="002E1C60"/>
    <w:rsid w:val="002E242F"/>
    <w:rsid w:val="002F4E6C"/>
    <w:rsid w:val="003074CC"/>
    <w:rsid w:val="00315C7E"/>
    <w:rsid w:val="00320BFA"/>
    <w:rsid w:val="00322A3C"/>
    <w:rsid w:val="00325AE7"/>
    <w:rsid w:val="0033589F"/>
    <w:rsid w:val="003365F8"/>
    <w:rsid w:val="00336E84"/>
    <w:rsid w:val="003425C8"/>
    <w:rsid w:val="00350F6A"/>
    <w:rsid w:val="003516B9"/>
    <w:rsid w:val="003535DB"/>
    <w:rsid w:val="00360E84"/>
    <w:rsid w:val="003B275A"/>
    <w:rsid w:val="003B2B58"/>
    <w:rsid w:val="003B5CA6"/>
    <w:rsid w:val="003B61CB"/>
    <w:rsid w:val="003C70C0"/>
    <w:rsid w:val="003D0ABD"/>
    <w:rsid w:val="003E71E8"/>
    <w:rsid w:val="003F3892"/>
    <w:rsid w:val="00400BCA"/>
    <w:rsid w:val="00417BBF"/>
    <w:rsid w:val="0042010E"/>
    <w:rsid w:val="00420B34"/>
    <w:rsid w:val="004220C5"/>
    <w:rsid w:val="00424A10"/>
    <w:rsid w:val="00425792"/>
    <w:rsid w:val="0043213B"/>
    <w:rsid w:val="00433839"/>
    <w:rsid w:val="0043417D"/>
    <w:rsid w:val="00447885"/>
    <w:rsid w:val="00473C40"/>
    <w:rsid w:val="00475EEE"/>
    <w:rsid w:val="00490191"/>
    <w:rsid w:val="00496D9C"/>
    <w:rsid w:val="004A43AE"/>
    <w:rsid w:val="004B4344"/>
    <w:rsid w:val="004B747F"/>
    <w:rsid w:val="004C11E8"/>
    <w:rsid w:val="004C4E5F"/>
    <w:rsid w:val="004C722F"/>
    <w:rsid w:val="004D7C75"/>
    <w:rsid w:val="004E087C"/>
    <w:rsid w:val="004F08E1"/>
    <w:rsid w:val="004F2104"/>
    <w:rsid w:val="004F41C4"/>
    <w:rsid w:val="00506C5E"/>
    <w:rsid w:val="005465CF"/>
    <w:rsid w:val="00553428"/>
    <w:rsid w:val="00556823"/>
    <w:rsid w:val="00572285"/>
    <w:rsid w:val="0057279E"/>
    <w:rsid w:val="00584902"/>
    <w:rsid w:val="00593134"/>
    <w:rsid w:val="005A635D"/>
    <w:rsid w:val="005A75FD"/>
    <w:rsid w:val="005D72A3"/>
    <w:rsid w:val="005E08B6"/>
    <w:rsid w:val="005E0A8A"/>
    <w:rsid w:val="005F40DC"/>
    <w:rsid w:val="005F48A4"/>
    <w:rsid w:val="005F7F04"/>
    <w:rsid w:val="00600DB1"/>
    <w:rsid w:val="006021D3"/>
    <w:rsid w:val="00606138"/>
    <w:rsid w:val="00613FEB"/>
    <w:rsid w:val="00622A8F"/>
    <w:rsid w:val="0063671A"/>
    <w:rsid w:val="006377B5"/>
    <w:rsid w:val="006421FA"/>
    <w:rsid w:val="00663F30"/>
    <w:rsid w:val="006753FD"/>
    <w:rsid w:val="00675765"/>
    <w:rsid w:val="006830F3"/>
    <w:rsid w:val="00684351"/>
    <w:rsid w:val="0068666E"/>
    <w:rsid w:val="0069103F"/>
    <w:rsid w:val="006B1572"/>
    <w:rsid w:val="006B71E3"/>
    <w:rsid w:val="006D3456"/>
    <w:rsid w:val="006D6029"/>
    <w:rsid w:val="006F39FF"/>
    <w:rsid w:val="006F5A53"/>
    <w:rsid w:val="006F65A5"/>
    <w:rsid w:val="0071103E"/>
    <w:rsid w:val="00714051"/>
    <w:rsid w:val="007225CB"/>
    <w:rsid w:val="0074074E"/>
    <w:rsid w:val="00741721"/>
    <w:rsid w:val="007449DC"/>
    <w:rsid w:val="00770040"/>
    <w:rsid w:val="00772F26"/>
    <w:rsid w:val="00776A49"/>
    <w:rsid w:val="00782564"/>
    <w:rsid w:val="00793877"/>
    <w:rsid w:val="00794E79"/>
    <w:rsid w:val="00797BFF"/>
    <w:rsid w:val="007A07D4"/>
    <w:rsid w:val="007A1272"/>
    <w:rsid w:val="007A70B5"/>
    <w:rsid w:val="007B444D"/>
    <w:rsid w:val="007B5B90"/>
    <w:rsid w:val="007C3018"/>
    <w:rsid w:val="007C326A"/>
    <w:rsid w:val="007D3C96"/>
    <w:rsid w:val="007E2A9B"/>
    <w:rsid w:val="007E6914"/>
    <w:rsid w:val="00802333"/>
    <w:rsid w:val="008056EC"/>
    <w:rsid w:val="008325AF"/>
    <w:rsid w:val="00850B10"/>
    <w:rsid w:val="00850ED1"/>
    <w:rsid w:val="00851819"/>
    <w:rsid w:val="00857176"/>
    <w:rsid w:val="00857D9A"/>
    <w:rsid w:val="008656F8"/>
    <w:rsid w:val="008736BF"/>
    <w:rsid w:val="00874894"/>
    <w:rsid w:val="00884C45"/>
    <w:rsid w:val="00886CCE"/>
    <w:rsid w:val="008A1384"/>
    <w:rsid w:val="008A2162"/>
    <w:rsid w:val="008C3D13"/>
    <w:rsid w:val="008D69A4"/>
    <w:rsid w:val="008D7164"/>
    <w:rsid w:val="008F308C"/>
    <w:rsid w:val="00900BC8"/>
    <w:rsid w:val="00902AFF"/>
    <w:rsid w:val="00903E0E"/>
    <w:rsid w:val="009045DD"/>
    <w:rsid w:val="00914482"/>
    <w:rsid w:val="00920F8A"/>
    <w:rsid w:val="00930D12"/>
    <w:rsid w:val="00935760"/>
    <w:rsid w:val="0096167F"/>
    <w:rsid w:val="009771A2"/>
    <w:rsid w:val="00985292"/>
    <w:rsid w:val="009A1CB0"/>
    <w:rsid w:val="009B7101"/>
    <w:rsid w:val="009B75C3"/>
    <w:rsid w:val="009E0910"/>
    <w:rsid w:val="009E25DC"/>
    <w:rsid w:val="009E32E6"/>
    <w:rsid w:val="009E6E10"/>
    <w:rsid w:val="009F5CE1"/>
    <w:rsid w:val="009F6D57"/>
    <w:rsid w:val="00A11E25"/>
    <w:rsid w:val="00A24AEF"/>
    <w:rsid w:val="00A264B4"/>
    <w:rsid w:val="00A27E3C"/>
    <w:rsid w:val="00A40A63"/>
    <w:rsid w:val="00A4419D"/>
    <w:rsid w:val="00A6166C"/>
    <w:rsid w:val="00A63141"/>
    <w:rsid w:val="00A75604"/>
    <w:rsid w:val="00AA465C"/>
    <w:rsid w:val="00AD345C"/>
    <w:rsid w:val="00AD5050"/>
    <w:rsid w:val="00AE7546"/>
    <w:rsid w:val="00AF60C9"/>
    <w:rsid w:val="00AF7EFA"/>
    <w:rsid w:val="00B023C5"/>
    <w:rsid w:val="00B0312E"/>
    <w:rsid w:val="00B05F38"/>
    <w:rsid w:val="00B141D6"/>
    <w:rsid w:val="00B1548E"/>
    <w:rsid w:val="00B30630"/>
    <w:rsid w:val="00B3110A"/>
    <w:rsid w:val="00B34375"/>
    <w:rsid w:val="00B402DD"/>
    <w:rsid w:val="00B40480"/>
    <w:rsid w:val="00B51573"/>
    <w:rsid w:val="00B51E15"/>
    <w:rsid w:val="00B677AA"/>
    <w:rsid w:val="00B72248"/>
    <w:rsid w:val="00B751AF"/>
    <w:rsid w:val="00B75231"/>
    <w:rsid w:val="00B82A69"/>
    <w:rsid w:val="00B852FB"/>
    <w:rsid w:val="00B95E1D"/>
    <w:rsid w:val="00BB7341"/>
    <w:rsid w:val="00BB79B6"/>
    <w:rsid w:val="00BC78E8"/>
    <w:rsid w:val="00BD5D81"/>
    <w:rsid w:val="00BE2543"/>
    <w:rsid w:val="00BE2E8C"/>
    <w:rsid w:val="00BE2EB8"/>
    <w:rsid w:val="00BE4264"/>
    <w:rsid w:val="00BF6574"/>
    <w:rsid w:val="00BF6BA9"/>
    <w:rsid w:val="00C05D90"/>
    <w:rsid w:val="00C0798F"/>
    <w:rsid w:val="00C10E3F"/>
    <w:rsid w:val="00C14314"/>
    <w:rsid w:val="00C22A02"/>
    <w:rsid w:val="00C32DA0"/>
    <w:rsid w:val="00C33A1A"/>
    <w:rsid w:val="00C40FF2"/>
    <w:rsid w:val="00C51738"/>
    <w:rsid w:val="00C56973"/>
    <w:rsid w:val="00C5765C"/>
    <w:rsid w:val="00C613EF"/>
    <w:rsid w:val="00C66980"/>
    <w:rsid w:val="00C66FFF"/>
    <w:rsid w:val="00C75ED8"/>
    <w:rsid w:val="00C91FA4"/>
    <w:rsid w:val="00C920E2"/>
    <w:rsid w:val="00CA1ADF"/>
    <w:rsid w:val="00CA1B1C"/>
    <w:rsid w:val="00CA3E3D"/>
    <w:rsid w:val="00CB31DD"/>
    <w:rsid w:val="00CC2304"/>
    <w:rsid w:val="00CC7415"/>
    <w:rsid w:val="00CF03D5"/>
    <w:rsid w:val="00D1600F"/>
    <w:rsid w:val="00D34285"/>
    <w:rsid w:val="00D3606D"/>
    <w:rsid w:val="00D46CB9"/>
    <w:rsid w:val="00D62DBA"/>
    <w:rsid w:val="00D76FB3"/>
    <w:rsid w:val="00D80DE9"/>
    <w:rsid w:val="00D96264"/>
    <w:rsid w:val="00D97E76"/>
    <w:rsid w:val="00DC04D0"/>
    <w:rsid w:val="00DF2A5F"/>
    <w:rsid w:val="00E06E11"/>
    <w:rsid w:val="00E16F16"/>
    <w:rsid w:val="00E26690"/>
    <w:rsid w:val="00E2702E"/>
    <w:rsid w:val="00E2776A"/>
    <w:rsid w:val="00E331D2"/>
    <w:rsid w:val="00E4337C"/>
    <w:rsid w:val="00E62766"/>
    <w:rsid w:val="00E80A1B"/>
    <w:rsid w:val="00E84878"/>
    <w:rsid w:val="00EB6E5F"/>
    <w:rsid w:val="00EB72E5"/>
    <w:rsid w:val="00EC2C33"/>
    <w:rsid w:val="00ED18CF"/>
    <w:rsid w:val="00ED2023"/>
    <w:rsid w:val="00ED4389"/>
    <w:rsid w:val="00ED7572"/>
    <w:rsid w:val="00EE4C2B"/>
    <w:rsid w:val="00F0272A"/>
    <w:rsid w:val="00F04091"/>
    <w:rsid w:val="00F41069"/>
    <w:rsid w:val="00F430D1"/>
    <w:rsid w:val="00F43885"/>
    <w:rsid w:val="00F4694F"/>
    <w:rsid w:val="00F50C01"/>
    <w:rsid w:val="00F50FF6"/>
    <w:rsid w:val="00F52A50"/>
    <w:rsid w:val="00F5631C"/>
    <w:rsid w:val="00F57BF7"/>
    <w:rsid w:val="00F6540B"/>
    <w:rsid w:val="00F70254"/>
    <w:rsid w:val="00F801A5"/>
    <w:rsid w:val="00F828CB"/>
    <w:rsid w:val="00F92545"/>
    <w:rsid w:val="00FA19C2"/>
    <w:rsid w:val="00FA7385"/>
    <w:rsid w:val="00FB1434"/>
    <w:rsid w:val="00FB22B1"/>
    <w:rsid w:val="00FB5FF6"/>
    <w:rsid w:val="00FC149F"/>
    <w:rsid w:val="00FC1B8E"/>
    <w:rsid w:val="00FC33ED"/>
    <w:rsid w:val="00FC4D59"/>
    <w:rsid w:val="00FD07BB"/>
    <w:rsid w:val="00FD77DC"/>
    <w:rsid w:val="00FE212A"/>
    <w:rsid w:val="00FF1E78"/>
    <w:rsid w:val="00FF2EFB"/>
    <w:rsid w:val="01333AF1"/>
    <w:rsid w:val="01730582"/>
    <w:rsid w:val="01773047"/>
    <w:rsid w:val="018679C9"/>
    <w:rsid w:val="01EF3980"/>
    <w:rsid w:val="022B769F"/>
    <w:rsid w:val="02914086"/>
    <w:rsid w:val="029C7655"/>
    <w:rsid w:val="02A76009"/>
    <w:rsid w:val="03161356"/>
    <w:rsid w:val="033A7C50"/>
    <w:rsid w:val="035C2778"/>
    <w:rsid w:val="03B57ECD"/>
    <w:rsid w:val="040F1D6E"/>
    <w:rsid w:val="045B52A6"/>
    <w:rsid w:val="045F4033"/>
    <w:rsid w:val="04975E7B"/>
    <w:rsid w:val="04BF3ADE"/>
    <w:rsid w:val="04D747D2"/>
    <w:rsid w:val="051670E0"/>
    <w:rsid w:val="0519526F"/>
    <w:rsid w:val="05362223"/>
    <w:rsid w:val="054D5D0C"/>
    <w:rsid w:val="064F49ED"/>
    <w:rsid w:val="06622973"/>
    <w:rsid w:val="068F7BA3"/>
    <w:rsid w:val="06A353A8"/>
    <w:rsid w:val="0737777B"/>
    <w:rsid w:val="076D584D"/>
    <w:rsid w:val="07827A20"/>
    <w:rsid w:val="078C24E2"/>
    <w:rsid w:val="07F7358F"/>
    <w:rsid w:val="082B1685"/>
    <w:rsid w:val="08484E34"/>
    <w:rsid w:val="08A34E29"/>
    <w:rsid w:val="08F244F9"/>
    <w:rsid w:val="09251D4C"/>
    <w:rsid w:val="09A42176"/>
    <w:rsid w:val="0AA90B70"/>
    <w:rsid w:val="0ADC0437"/>
    <w:rsid w:val="0AF0777F"/>
    <w:rsid w:val="0B073AE9"/>
    <w:rsid w:val="0B592961"/>
    <w:rsid w:val="0B5D4453"/>
    <w:rsid w:val="0B7E0AA4"/>
    <w:rsid w:val="0BC47C72"/>
    <w:rsid w:val="0BE564B2"/>
    <w:rsid w:val="0BFE45A4"/>
    <w:rsid w:val="0C1C22FC"/>
    <w:rsid w:val="0C35705B"/>
    <w:rsid w:val="0C8433F1"/>
    <w:rsid w:val="0CBA24AA"/>
    <w:rsid w:val="0D984ECC"/>
    <w:rsid w:val="0E3C6626"/>
    <w:rsid w:val="0E4F7EB1"/>
    <w:rsid w:val="0E5F3B86"/>
    <w:rsid w:val="0EB059B3"/>
    <w:rsid w:val="0EBC3C90"/>
    <w:rsid w:val="0F0258C5"/>
    <w:rsid w:val="0F36156E"/>
    <w:rsid w:val="0F4861E4"/>
    <w:rsid w:val="0FB921E7"/>
    <w:rsid w:val="105145E4"/>
    <w:rsid w:val="10626850"/>
    <w:rsid w:val="109034D6"/>
    <w:rsid w:val="10FA7820"/>
    <w:rsid w:val="10FD3040"/>
    <w:rsid w:val="111D5E14"/>
    <w:rsid w:val="116157CA"/>
    <w:rsid w:val="11691059"/>
    <w:rsid w:val="11991213"/>
    <w:rsid w:val="11DC5CCF"/>
    <w:rsid w:val="1202325C"/>
    <w:rsid w:val="120C50A7"/>
    <w:rsid w:val="12DF460E"/>
    <w:rsid w:val="12F112E4"/>
    <w:rsid w:val="13106C01"/>
    <w:rsid w:val="131D4D3C"/>
    <w:rsid w:val="1330374B"/>
    <w:rsid w:val="1370177E"/>
    <w:rsid w:val="13750189"/>
    <w:rsid w:val="13AC7923"/>
    <w:rsid w:val="13E16B2F"/>
    <w:rsid w:val="14570302"/>
    <w:rsid w:val="150944F8"/>
    <w:rsid w:val="15933AC5"/>
    <w:rsid w:val="15E176E1"/>
    <w:rsid w:val="162419F3"/>
    <w:rsid w:val="17311ED9"/>
    <w:rsid w:val="17343EB7"/>
    <w:rsid w:val="174F0CF1"/>
    <w:rsid w:val="17601D19"/>
    <w:rsid w:val="1783672E"/>
    <w:rsid w:val="17DD51A0"/>
    <w:rsid w:val="17FF4F12"/>
    <w:rsid w:val="1844124B"/>
    <w:rsid w:val="18B57E94"/>
    <w:rsid w:val="19404D95"/>
    <w:rsid w:val="19834C82"/>
    <w:rsid w:val="19921369"/>
    <w:rsid w:val="19D131C3"/>
    <w:rsid w:val="19D352EF"/>
    <w:rsid w:val="19DA04BD"/>
    <w:rsid w:val="19DE36A1"/>
    <w:rsid w:val="1A073B05"/>
    <w:rsid w:val="1A1F092C"/>
    <w:rsid w:val="1A7E3BA5"/>
    <w:rsid w:val="1B0B13D3"/>
    <w:rsid w:val="1B7422BE"/>
    <w:rsid w:val="1C136EF9"/>
    <w:rsid w:val="1C62768C"/>
    <w:rsid w:val="1C684BEA"/>
    <w:rsid w:val="1C9F39A1"/>
    <w:rsid w:val="1CBD1E76"/>
    <w:rsid w:val="1D6E5050"/>
    <w:rsid w:val="1D840FC9"/>
    <w:rsid w:val="1DBA4AD7"/>
    <w:rsid w:val="1DC31D32"/>
    <w:rsid w:val="1DC835AB"/>
    <w:rsid w:val="1DCE7AF7"/>
    <w:rsid w:val="1E201112"/>
    <w:rsid w:val="1E2B113A"/>
    <w:rsid w:val="1E340C41"/>
    <w:rsid w:val="1EA57449"/>
    <w:rsid w:val="1EDD0EE4"/>
    <w:rsid w:val="1F02192E"/>
    <w:rsid w:val="1F996FAD"/>
    <w:rsid w:val="20580C17"/>
    <w:rsid w:val="2069387F"/>
    <w:rsid w:val="21040504"/>
    <w:rsid w:val="21424ABC"/>
    <w:rsid w:val="217F0DAF"/>
    <w:rsid w:val="219372EA"/>
    <w:rsid w:val="21983295"/>
    <w:rsid w:val="21AC19CF"/>
    <w:rsid w:val="21C34E85"/>
    <w:rsid w:val="21F07A00"/>
    <w:rsid w:val="220F5C9A"/>
    <w:rsid w:val="22547B29"/>
    <w:rsid w:val="22574E59"/>
    <w:rsid w:val="225A297C"/>
    <w:rsid w:val="22F26A92"/>
    <w:rsid w:val="233B102C"/>
    <w:rsid w:val="23B73EA6"/>
    <w:rsid w:val="23CB1978"/>
    <w:rsid w:val="24254104"/>
    <w:rsid w:val="2452597D"/>
    <w:rsid w:val="247B64C1"/>
    <w:rsid w:val="24A33427"/>
    <w:rsid w:val="24A8086C"/>
    <w:rsid w:val="24C2011B"/>
    <w:rsid w:val="261C0E33"/>
    <w:rsid w:val="2697620A"/>
    <w:rsid w:val="27692CA9"/>
    <w:rsid w:val="27A03DD2"/>
    <w:rsid w:val="27A97396"/>
    <w:rsid w:val="27DA0163"/>
    <w:rsid w:val="27DE5328"/>
    <w:rsid w:val="27F07987"/>
    <w:rsid w:val="28336737"/>
    <w:rsid w:val="283A6824"/>
    <w:rsid w:val="288602EB"/>
    <w:rsid w:val="28D177B8"/>
    <w:rsid w:val="290231EF"/>
    <w:rsid w:val="29023E15"/>
    <w:rsid w:val="2903193C"/>
    <w:rsid w:val="29870FB3"/>
    <w:rsid w:val="299C3545"/>
    <w:rsid w:val="29CE019B"/>
    <w:rsid w:val="2A4829E1"/>
    <w:rsid w:val="2A4B06F6"/>
    <w:rsid w:val="2A613DAE"/>
    <w:rsid w:val="2AB4113F"/>
    <w:rsid w:val="2AF27DF9"/>
    <w:rsid w:val="2B38308F"/>
    <w:rsid w:val="2C06436C"/>
    <w:rsid w:val="2C46226B"/>
    <w:rsid w:val="2C8B4122"/>
    <w:rsid w:val="2CEF3767"/>
    <w:rsid w:val="2D287BC3"/>
    <w:rsid w:val="2DD46BD9"/>
    <w:rsid w:val="2DFC4A99"/>
    <w:rsid w:val="2E232138"/>
    <w:rsid w:val="2E356BE5"/>
    <w:rsid w:val="2E5A1FFE"/>
    <w:rsid w:val="2E6B5FB9"/>
    <w:rsid w:val="2E6E4901"/>
    <w:rsid w:val="2EA930BA"/>
    <w:rsid w:val="2EDE4EA6"/>
    <w:rsid w:val="2F24542D"/>
    <w:rsid w:val="2F2A2D4D"/>
    <w:rsid w:val="2F4C09C3"/>
    <w:rsid w:val="2F513C73"/>
    <w:rsid w:val="2F6E759F"/>
    <w:rsid w:val="2FDE7294"/>
    <w:rsid w:val="2FEB7FAE"/>
    <w:rsid w:val="2FF93EEC"/>
    <w:rsid w:val="305E54D0"/>
    <w:rsid w:val="309F63EE"/>
    <w:rsid w:val="30E107B0"/>
    <w:rsid w:val="30F8151C"/>
    <w:rsid w:val="30FA3624"/>
    <w:rsid w:val="31374878"/>
    <w:rsid w:val="31A17F44"/>
    <w:rsid w:val="31D125D7"/>
    <w:rsid w:val="31D27DA7"/>
    <w:rsid w:val="31DF01BB"/>
    <w:rsid w:val="31DF0925"/>
    <w:rsid w:val="31E513C0"/>
    <w:rsid w:val="32665913"/>
    <w:rsid w:val="327015AB"/>
    <w:rsid w:val="3284302D"/>
    <w:rsid w:val="32D17625"/>
    <w:rsid w:val="32E74882"/>
    <w:rsid w:val="33566FD0"/>
    <w:rsid w:val="337A342C"/>
    <w:rsid w:val="3395537D"/>
    <w:rsid w:val="33A85332"/>
    <w:rsid w:val="33C148CD"/>
    <w:rsid w:val="33CA3782"/>
    <w:rsid w:val="34350021"/>
    <w:rsid w:val="343A6AB1"/>
    <w:rsid w:val="343C3BE2"/>
    <w:rsid w:val="345E559A"/>
    <w:rsid w:val="34A50A01"/>
    <w:rsid w:val="34AE0818"/>
    <w:rsid w:val="34BD50C3"/>
    <w:rsid w:val="34BD5279"/>
    <w:rsid w:val="3530021A"/>
    <w:rsid w:val="35CE547C"/>
    <w:rsid w:val="36145188"/>
    <w:rsid w:val="362B39A1"/>
    <w:rsid w:val="362F0349"/>
    <w:rsid w:val="36AC51F5"/>
    <w:rsid w:val="36BB3DD7"/>
    <w:rsid w:val="36BE59C7"/>
    <w:rsid w:val="37067BC9"/>
    <w:rsid w:val="378B3080"/>
    <w:rsid w:val="3805291D"/>
    <w:rsid w:val="38066D52"/>
    <w:rsid w:val="3814321D"/>
    <w:rsid w:val="381C26EF"/>
    <w:rsid w:val="38302291"/>
    <w:rsid w:val="38756A50"/>
    <w:rsid w:val="39423DBA"/>
    <w:rsid w:val="398551DB"/>
    <w:rsid w:val="39A93E39"/>
    <w:rsid w:val="3A0C560D"/>
    <w:rsid w:val="3A4122C4"/>
    <w:rsid w:val="3A71620C"/>
    <w:rsid w:val="3A952BF7"/>
    <w:rsid w:val="3AED11E5"/>
    <w:rsid w:val="3AF9494C"/>
    <w:rsid w:val="3B043536"/>
    <w:rsid w:val="3B120FAC"/>
    <w:rsid w:val="3B934DA1"/>
    <w:rsid w:val="3B9E3B5C"/>
    <w:rsid w:val="3BB81F20"/>
    <w:rsid w:val="3C4A598C"/>
    <w:rsid w:val="3D65451B"/>
    <w:rsid w:val="3D76381A"/>
    <w:rsid w:val="3D8854CA"/>
    <w:rsid w:val="3DBE57E8"/>
    <w:rsid w:val="3DDC403C"/>
    <w:rsid w:val="3E0D35E4"/>
    <w:rsid w:val="3E261EFC"/>
    <w:rsid w:val="3E6D3687"/>
    <w:rsid w:val="3E774506"/>
    <w:rsid w:val="3E926983"/>
    <w:rsid w:val="3E954AD4"/>
    <w:rsid w:val="3E980D61"/>
    <w:rsid w:val="3EAD6070"/>
    <w:rsid w:val="3EAD617A"/>
    <w:rsid w:val="3EF95984"/>
    <w:rsid w:val="3F2A5652"/>
    <w:rsid w:val="3F344A9E"/>
    <w:rsid w:val="3F4F195D"/>
    <w:rsid w:val="3F761D69"/>
    <w:rsid w:val="3FDA7A04"/>
    <w:rsid w:val="3FDB6674"/>
    <w:rsid w:val="400F702C"/>
    <w:rsid w:val="40155D85"/>
    <w:rsid w:val="40305120"/>
    <w:rsid w:val="403120A4"/>
    <w:rsid w:val="40727DDF"/>
    <w:rsid w:val="40A44600"/>
    <w:rsid w:val="40B30B41"/>
    <w:rsid w:val="4127388A"/>
    <w:rsid w:val="41BF3766"/>
    <w:rsid w:val="421E7385"/>
    <w:rsid w:val="421F7A2F"/>
    <w:rsid w:val="422C5698"/>
    <w:rsid w:val="427E2D85"/>
    <w:rsid w:val="42CA3135"/>
    <w:rsid w:val="42F26851"/>
    <w:rsid w:val="434D2655"/>
    <w:rsid w:val="43BC7C1C"/>
    <w:rsid w:val="4447497A"/>
    <w:rsid w:val="45230F44"/>
    <w:rsid w:val="454347B2"/>
    <w:rsid w:val="457C47D4"/>
    <w:rsid w:val="4584328E"/>
    <w:rsid w:val="45A4020D"/>
    <w:rsid w:val="45FB5A1D"/>
    <w:rsid w:val="4746716B"/>
    <w:rsid w:val="4796465E"/>
    <w:rsid w:val="47B440D5"/>
    <w:rsid w:val="47C46AE5"/>
    <w:rsid w:val="4802157E"/>
    <w:rsid w:val="4822798D"/>
    <w:rsid w:val="48265C02"/>
    <w:rsid w:val="488F5C5B"/>
    <w:rsid w:val="4893659D"/>
    <w:rsid w:val="48A2668D"/>
    <w:rsid w:val="48B545A9"/>
    <w:rsid w:val="48D0755E"/>
    <w:rsid w:val="48DB4B9E"/>
    <w:rsid w:val="48F128D6"/>
    <w:rsid w:val="4946099D"/>
    <w:rsid w:val="49DB13F3"/>
    <w:rsid w:val="49EA64D4"/>
    <w:rsid w:val="4A0909CC"/>
    <w:rsid w:val="4ABB577A"/>
    <w:rsid w:val="4B08619A"/>
    <w:rsid w:val="4B7C28F0"/>
    <w:rsid w:val="4C1F3D30"/>
    <w:rsid w:val="4C2C78BC"/>
    <w:rsid w:val="4C417EE3"/>
    <w:rsid w:val="4C595D2F"/>
    <w:rsid w:val="4C821F31"/>
    <w:rsid w:val="4CC51B63"/>
    <w:rsid w:val="4D08431F"/>
    <w:rsid w:val="4D476050"/>
    <w:rsid w:val="4D891B35"/>
    <w:rsid w:val="4DE374C2"/>
    <w:rsid w:val="4DE75433"/>
    <w:rsid w:val="4E3E294A"/>
    <w:rsid w:val="4E4C150B"/>
    <w:rsid w:val="4E9764FE"/>
    <w:rsid w:val="4ED41501"/>
    <w:rsid w:val="4EF851EF"/>
    <w:rsid w:val="4F734876"/>
    <w:rsid w:val="4FC96B8B"/>
    <w:rsid w:val="50517375"/>
    <w:rsid w:val="507F437E"/>
    <w:rsid w:val="50994EE6"/>
    <w:rsid w:val="50A82C45"/>
    <w:rsid w:val="514707DB"/>
    <w:rsid w:val="51644DBE"/>
    <w:rsid w:val="51790BFB"/>
    <w:rsid w:val="51A056CA"/>
    <w:rsid w:val="51BC0756"/>
    <w:rsid w:val="51F85A12"/>
    <w:rsid w:val="52691F60"/>
    <w:rsid w:val="527346B5"/>
    <w:rsid w:val="52A17F11"/>
    <w:rsid w:val="5385101B"/>
    <w:rsid w:val="53D5528E"/>
    <w:rsid w:val="540C6C6F"/>
    <w:rsid w:val="54336EA8"/>
    <w:rsid w:val="5438236D"/>
    <w:rsid w:val="549665DE"/>
    <w:rsid w:val="54A454D1"/>
    <w:rsid w:val="54FA776F"/>
    <w:rsid w:val="550543E7"/>
    <w:rsid w:val="55EF3783"/>
    <w:rsid w:val="56064695"/>
    <w:rsid w:val="56D4209E"/>
    <w:rsid w:val="570116E4"/>
    <w:rsid w:val="5730776A"/>
    <w:rsid w:val="576371A5"/>
    <w:rsid w:val="57D65F6D"/>
    <w:rsid w:val="584856D8"/>
    <w:rsid w:val="58626337"/>
    <w:rsid w:val="589056E9"/>
    <w:rsid w:val="58DA3BB7"/>
    <w:rsid w:val="590974EA"/>
    <w:rsid w:val="592D018B"/>
    <w:rsid w:val="59B3123E"/>
    <w:rsid w:val="5A4B256F"/>
    <w:rsid w:val="5A5D715F"/>
    <w:rsid w:val="5A6F03CD"/>
    <w:rsid w:val="5A962802"/>
    <w:rsid w:val="5ACE796B"/>
    <w:rsid w:val="5B3D4E24"/>
    <w:rsid w:val="5B6232E6"/>
    <w:rsid w:val="5B724D97"/>
    <w:rsid w:val="5BA72544"/>
    <w:rsid w:val="5BAC4E06"/>
    <w:rsid w:val="5BC16969"/>
    <w:rsid w:val="5BE50C46"/>
    <w:rsid w:val="5BF1724E"/>
    <w:rsid w:val="5C626B59"/>
    <w:rsid w:val="5DE60909"/>
    <w:rsid w:val="5E0D6B87"/>
    <w:rsid w:val="5E4D49F5"/>
    <w:rsid w:val="5E781EA8"/>
    <w:rsid w:val="5EB509AB"/>
    <w:rsid w:val="5EBB781B"/>
    <w:rsid w:val="5EF157B7"/>
    <w:rsid w:val="5F167353"/>
    <w:rsid w:val="5F853714"/>
    <w:rsid w:val="5FC677EA"/>
    <w:rsid w:val="5FE03B23"/>
    <w:rsid w:val="5FF027EC"/>
    <w:rsid w:val="600C0AFA"/>
    <w:rsid w:val="60313D68"/>
    <w:rsid w:val="609D4B7F"/>
    <w:rsid w:val="60EB0594"/>
    <w:rsid w:val="610953EB"/>
    <w:rsid w:val="61314591"/>
    <w:rsid w:val="61403B0B"/>
    <w:rsid w:val="6151253D"/>
    <w:rsid w:val="619A7D90"/>
    <w:rsid w:val="61B2276A"/>
    <w:rsid w:val="62037CDB"/>
    <w:rsid w:val="62232626"/>
    <w:rsid w:val="625A2523"/>
    <w:rsid w:val="628F657E"/>
    <w:rsid w:val="62955E5F"/>
    <w:rsid w:val="62A87005"/>
    <w:rsid w:val="62CF3AAF"/>
    <w:rsid w:val="62DB3E42"/>
    <w:rsid w:val="633D7085"/>
    <w:rsid w:val="63422A85"/>
    <w:rsid w:val="63691855"/>
    <w:rsid w:val="641F6922"/>
    <w:rsid w:val="64232F8E"/>
    <w:rsid w:val="644824F4"/>
    <w:rsid w:val="64485E91"/>
    <w:rsid w:val="644F544C"/>
    <w:rsid w:val="655C7097"/>
    <w:rsid w:val="65660CAD"/>
    <w:rsid w:val="65B56E58"/>
    <w:rsid w:val="65E41BD1"/>
    <w:rsid w:val="65E971E8"/>
    <w:rsid w:val="665C1A24"/>
    <w:rsid w:val="66B67465"/>
    <w:rsid w:val="670771EC"/>
    <w:rsid w:val="67100980"/>
    <w:rsid w:val="671A2FAC"/>
    <w:rsid w:val="676F7131"/>
    <w:rsid w:val="682B7F8C"/>
    <w:rsid w:val="688431F8"/>
    <w:rsid w:val="68A27E0E"/>
    <w:rsid w:val="68A5389A"/>
    <w:rsid w:val="69165A39"/>
    <w:rsid w:val="692A3D9F"/>
    <w:rsid w:val="696041A7"/>
    <w:rsid w:val="6A3D7B02"/>
    <w:rsid w:val="6A657521"/>
    <w:rsid w:val="6A705017"/>
    <w:rsid w:val="6AA55446"/>
    <w:rsid w:val="6AA807A1"/>
    <w:rsid w:val="6AAC2CBE"/>
    <w:rsid w:val="6AC32B08"/>
    <w:rsid w:val="6B7F611A"/>
    <w:rsid w:val="6BB43DF4"/>
    <w:rsid w:val="6C1E0547"/>
    <w:rsid w:val="6C6003D6"/>
    <w:rsid w:val="6CDC4E3C"/>
    <w:rsid w:val="6CDD2172"/>
    <w:rsid w:val="6CF24C23"/>
    <w:rsid w:val="6D251B89"/>
    <w:rsid w:val="6D38300F"/>
    <w:rsid w:val="6D885538"/>
    <w:rsid w:val="6DD25D26"/>
    <w:rsid w:val="6E4236B7"/>
    <w:rsid w:val="6E7B209A"/>
    <w:rsid w:val="6E9543B1"/>
    <w:rsid w:val="6EE80D54"/>
    <w:rsid w:val="6F0D03EB"/>
    <w:rsid w:val="6F213E96"/>
    <w:rsid w:val="6F7E3097"/>
    <w:rsid w:val="6FC00FB9"/>
    <w:rsid w:val="70096FFD"/>
    <w:rsid w:val="702F4D4D"/>
    <w:rsid w:val="705D390F"/>
    <w:rsid w:val="706758D9"/>
    <w:rsid w:val="707B3F97"/>
    <w:rsid w:val="70B76B44"/>
    <w:rsid w:val="70CA4A23"/>
    <w:rsid w:val="711A6DEF"/>
    <w:rsid w:val="711D0091"/>
    <w:rsid w:val="71233EF6"/>
    <w:rsid w:val="717C66FA"/>
    <w:rsid w:val="718A056E"/>
    <w:rsid w:val="72343214"/>
    <w:rsid w:val="72895FDA"/>
    <w:rsid w:val="728C4AC0"/>
    <w:rsid w:val="72C85B8D"/>
    <w:rsid w:val="72F07E08"/>
    <w:rsid w:val="73C14460"/>
    <w:rsid w:val="745F133D"/>
    <w:rsid w:val="74880144"/>
    <w:rsid w:val="749B0247"/>
    <w:rsid w:val="750E27C7"/>
    <w:rsid w:val="751A116C"/>
    <w:rsid w:val="75563575"/>
    <w:rsid w:val="75E27961"/>
    <w:rsid w:val="7621477C"/>
    <w:rsid w:val="76322E89"/>
    <w:rsid w:val="76370D8B"/>
    <w:rsid w:val="76383A07"/>
    <w:rsid w:val="763C3364"/>
    <w:rsid w:val="76632274"/>
    <w:rsid w:val="76EA4B79"/>
    <w:rsid w:val="76EC7638"/>
    <w:rsid w:val="774808B4"/>
    <w:rsid w:val="774925F6"/>
    <w:rsid w:val="77656FE4"/>
    <w:rsid w:val="776C54D6"/>
    <w:rsid w:val="77A86F03"/>
    <w:rsid w:val="77C21E99"/>
    <w:rsid w:val="77CA7B94"/>
    <w:rsid w:val="78320EC2"/>
    <w:rsid w:val="78471FE7"/>
    <w:rsid w:val="785D345F"/>
    <w:rsid w:val="78712EAF"/>
    <w:rsid w:val="79161BF3"/>
    <w:rsid w:val="79390917"/>
    <w:rsid w:val="79876FEC"/>
    <w:rsid w:val="7A024E1B"/>
    <w:rsid w:val="7A536608"/>
    <w:rsid w:val="7AA6202B"/>
    <w:rsid w:val="7ACF47A6"/>
    <w:rsid w:val="7ADA0446"/>
    <w:rsid w:val="7B0D52CF"/>
    <w:rsid w:val="7B111A8C"/>
    <w:rsid w:val="7B326691"/>
    <w:rsid w:val="7B47231B"/>
    <w:rsid w:val="7BB53D84"/>
    <w:rsid w:val="7BD16399"/>
    <w:rsid w:val="7C1D3D2C"/>
    <w:rsid w:val="7C376AA7"/>
    <w:rsid w:val="7C3851D3"/>
    <w:rsid w:val="7C686F28"/>
    <w:rsid w:val="7C6E3090"/>
    <w:rsid w:val="7C7E097B"/>
    <w:rsid w:val="7CD662C0"/>
    <w:rsid w:val="7D0270B5"/>
    <w:rsid w:val="7D3233ED"/>
    <w:rsid w:val="7D5A33D6"/>
    <w:rsid w:val="7D691E8D"/>
    <w:rsid w:val="7DA737B9"/>
    <w:rsid w:val="7DA77C5D"/>
    <w:rsid w:val="7DB4431C"/>
    <w:rsid w:val="7E1D3A7B"/>
    <w:rsid w:val="7E2C4AFF"/>
    <w:rsid w:val="7E885398"/>
    <w:rsid w:val="7E8F2332"/>
    <w:rsid w:val="7F2B463A"/>
    <w:rsid w:val="7F417B1E"/>
    <w:rsid w:val="7F511C2E"/>
    <w:rsid w:val="7F622093"/>
    <w:rsid w:val="7F7923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57" w:lineRule="atLeast"/>
      <w:jc w:val="both"/>
      <w:textAlignment w:val="baseline"/>
    </w:pPr>
    <w:rPr>
      <w:rFonts w:ascii="Times New Roman" w:hAnsi="Times New Roman" w:eastAsia="宋体" w:cs="Times New Roman"/>
      <w:color w:val="000000"/>
      <w:sz w:val="21"/>
      <w:u w:color="000000"/>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4"/>
    <w:qFormat/>
    <w:uiPriority w:val="0"/>
    <w:pPr>
      <w:keepNext/>
      <w:keepLines/>
      <w:widowControl w:val="0"/>
      <w:tabs>
        <w:tab w:val="left" w:pos="2740"/>
      </w:tabs>
      <w:adjustRightInd w:val="0"/>
      <w:spacing w:line="360" w:lineRule="atLeast"/>
      <w:ind w:left="2740" w:hanging="720"/>
      <w:outlineLvl w:val="1"/>
    </w:pPr>
    <w:rPr>
      <w:color w:val="auto"/>
      <w:sz w:val="24"/>
    </w:rPr>
  </w:style>
  <w:style w:type="paragraph" w:styleId="5">
    <w:name w:val="heading 3"/>
    <w:basedOn w:val="1"/>
    <w:next w:val="1"/>
    <w:qFormat/>
    <w:uiPriority w:val="0"/>
    <w:pPr>
      <w:keepNext/>
      <w:keepLines/>
      <w:spacing w:before="260" w:after="260" w:line="416" w:lineRule="atLeast"/>
      <w:outlineLvl w:val="2"/>
    </w:pPr>
    <w:rPr>
      <w:b/>
      <w:bCs/>
      <w:sz w:val="32"/>
      <w:szCs w:val="32"/>
    </w:rPr>
  </w:style>
  <w:style w:type="paragraph" w:styleId="6">
    <w:name w:val="heading 6"/>
    <w:basedOn w:val="1"/>
    <w:next w:val="1"/>
    <w:link w:val="45"/>
    <w:autoRedefine/>
    <w:qFormat/>
    <w:uiPriority w:val="0"/>
    <w:pPr>
      <w:keepNext/>
      <w:keepLines/>
      <w:spacing w:before="240" w:after="64" w:line="320" w:lineRule="atLeast"/>
      <w:outlineLvl w:val="5"/>
    </w:pPr>
    <w:rPr>
      <w:rFonts w:ascii="Cambria" w:hAnsi="Cambria"/>
      <w:b/>
      <w:bCs/>
      <w:sz w:val="24"/>
      <w:szCs w:val="24"/>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widowControl w:val="0"/>
      <w:adjustRightInd w:val="0"/>
      <w:spacing w:line="360" w:lineRule="atLeast"/>
      <w:ind w:firstLine="482"/>
    </w:pPr>
    <w:rPr>
      <w:color w:val="auto"/>
      <w:sz w:val="24"/>
    </w:rPr>
  </w:style>
  <w:style w:type="paragraph" w:styleId="7">
    <w:name w:val="Document Map"/>
    <w:basedOn w:val="1"/>
    <w:autoRedefine/>
    <w:qFormat/>
    <w:uiPriority w:val="0"/>
    <w:pPr>
      <w:shd w:val="clear" w:color="auto" w:fill="000080"/>
    </w:pPr>
  </w:style>
  <w:style w:type="paragraph" w:styleId="8">
    <w:name w:val="annotation text"/>
    <w:basedOn w:val="1"/>
    <w:link w:val="70"/>
    <w:autoRedefine/>
    <w:qFormat/>
    <w:uiPriority w:val="99"/>
    <w:pPr>
      <w:jc w:val="left"/>
    </w:pPr>
  </w:style>
  <w:style w:type="paragraph" w:styleId="9">
    <w:name w:val="Body Text"/>
    <w:basedOn w:val="1"/>
    <w:next w:val="10"/>
    <w:autoRedefine/>
    <w:qFormat/>
    <w:uiPriority w:val="0"/>
    <w:pPr>
      <w:widowControl w:val="0"/>
      <w:snapToGrid w:val="0"/>
      <w:spacing w:line="360" w:lineRule="auto"/>
    </w:pPr>
    <w:rPr>
      <w:rFonts w:ascii="Arial" w:hAnsi="Arial" w:eastAsia="仿宋_GB2312"/>
      <w:sz w:val="31"/>
    </w:rPr>
  </w:style>
  <w:style w:type="paragraph" w:customStyle="1" w:styleId="10">
    <w:name w:val="Default"/>
    <w:next w:val="1"/>
    <w:autoRedefine/>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styleId="11">
    <w:name w:val="Body Text Indent"/>
    <w:basedOn w:val="1"/>
    <w:next w:val="1"/>
    <w:autoRedefine/>
    <w:qFormat/>
    <w:uiPriority w:val="0"/>
    <w:pPr>
      <w:widowControl w:val="0"/>
      <w:spacing w:after="120" w:line="240" w:lineRule="auto"/>
      <w:ind w:left="420" w:leftChars="200"/>
      <w:textAlignment w:val="auto"/>
    </w:pPr>
    <w:rPr>
      <w:color w:val="auto"/>
      <w:kern w:val="2"/>
      <w:szCs w:val="24"/>
    </w:rPr>
  </w:style>
  <w:style w:type="paragraph" w:styleId="12">
    <w:name w:val="Plain Text"/>
    <w:basedOn w:val="1"/>
    <w:autoRedefine/>
    <w:qFormat/>
    <w:uiPriority w:val="99"/>
    <w:pPr>
      <w:widowControl w:val="0"/>
      <w:spacing w:line="240" w:lineRule="auto"/>
      <w:textAlignment w:val="auto"/>
    </w:pPr>
    <w:rPr>
      <w:rFonts w:ascii="宋体" w:hAnsi="Courier New"/>
      <w:color w:val="auto"/>
      <w:kern w:val="2"/>
    </w:rPr>
  </w:style>
  <w:style w:type="paragraph" w:styleId="13">
    <w:name w:val="Date"/>
    <w:basedOn w:val="1"/>
    <w:next w:val="1"/>
    <w:link w:val="47"/>
    <w:autoRedefine/>
    <w:qFormat/>
    <w:uiPriority w:val="0"/>
    <w:pPr>
      <w:widowControl w:val="0"/>
      <w:spacing w:line="240" w:lineRule="auto"/>
      <w:textAlignment w:val="auto"/>
    </w:pPr>
    <w:rPr>
      <w:rFonts w:ascii="Arial" w:hAnsi="Arial" w:eastAsia="仿宋_GB2312"/>
      <w:kern w:val="2"/>
      <w:sz w:val="32"/>
    </w:rPr>
  </w:style>
  <w:style w:type="paragraph" w:styleId="14">
    <w:name w:val="Body Text Indent 2"/>
    <w:basedOn w:val="1"/>
    <w:autoRedefine/>
    <w:qFormat/>
    <w:uiPriority w:val="0"/>
    <w:pPr>
      <w:spacing w:after="120" w:line="480" w:lineRule="auto"/>
      <w:ind w:left="420" w:leftChars="200"/>
    </w:pPr>
  </w:style>
  <w:style w:type="paragraph" w:styleId="15">
    <w:name w:val="Balloon Text"/>
    <w:basedOn w:val="1"/>
    <w:link w:val="74"/>
    <w:autoRedefine/>
    <w:qFormat/>
    <w:uiPriority w:val="0"/>
    <w:pPr>
      <w:spacing w:line="240" w:lineRule="auto"/>
    </w:pPr>
    <w:rPr>
      <w:sz w:val="18"/>
      <w:szCs w:val="18"/>
    </w:rPr>
  </w:style>
  <w:style w:type="paragraph" w:styleId="16">
    <w:name w:val="footer"/>
    <w:basedOn w:val="1"/>
    <w:autoRedefine/>
    <w:qFormat/>
    <w:uiPriority w:val="0"/>
    <w:pPr>
      <w:tabs>
        <w:tab w:val="center" w:pos="4153"/>
        <w:tab w:val="right" w:pos="8306"/>
      </w:tabs>
      <w:snapToGrid w:val="0"/>
      <w:spacing w:line="240" w:lineRule="atLeast"/>
      <w:jc w:val="left"/>
    </w:pPr>
    <w:rPr>
      <w:sz w:val="18"/>
      <w:szCs w:val="18"/>
    </w:rPr>
  </w:style>
  <w:style w:type="paragraph" w:styleId="17">
    <w:name w:val="envelope return"/>
    <w:basedOn w:val="1"/>
    <w:autoRedefine/>
    <w:qFormat/>
    <w:uiPriority w:val="0"/>
    <w:pPr>
      <w:snapToGrid w:val="0"/>
    </w:pPr>
    <w:rPr>
      <w:rFonts w:ascii="Arial" w:hAnsi="Arial"/>
    </w:rPr>
  </w:style>
  <w:style w:type="paragraph" w:styleId="18">
    <w:name w:val="header"/>
    <w:basedOn w:val="1"/>
    <w:autoRedefine/>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19">
    <w:name w:val="toc 1"/>
    <w:basedOn w:val="1"/>
    <w:next w:val="1"/>
    <w:autoRedefine/>
    <w:qFormat/>
    <w:uiPriority w:val="0"/>
  </w:style>
  <w:style w:type="paragraph" w:styleId="20">
    <w:name w:val="List"/>
    <w:basedOn w:val="1"/>
    <w:autoRedefine/>
    <w:qFormat/>
    <w:uiPriority w:val="0"/>
    <w:pPr>
      <w:widowControl w:val="0"/>
      <w:spacing w:line="240" w:lineRule="auto"/>
      <w:ind w:left="420" w:hanging="420"/>
      <w:textAlignment w:val="auto"/>
    </w:pPr>
    <w:rPr>
      <w:rFonts w:ascii="Arial" w:hAnsi="Arial" w:eastAsia="楷体_GB2312"/>
      <w:color w:val="auto"/>
      <w:kern w:val="2"/>
      <w:sz w:val="28"/>
    </w:rPr>
  </w:style>
  <w:style w:type="paragraph" w:styleId="21">
    <w:name w:val="Body Text Indent 3"/>
    <w:basedOn w:val="1"/>
    <w:link w:val="48"/>
    <w:autoRedefine/>
    <w:qFormat/>
    <w:uiPriority w:val="0"/>
    <w:pPr>
      <w:spacing w:after="120"/>
      <w:ind w:left="420" w:leftChars="200"/>
    </w:pPr>
    <w:rPr>
      <w:sz w:val="16"/>
      <w:szCs w:val="16"/>
    </w:rPr>
  </w:style>
  <w:style w:type="paragraph" w:styleId="22">
    <w:name w:val="Normal (Web)"/>
    <w:basedOn w:val="1"/>
    <w:autoRedefine/>
    <w:qFormat/>
    <w:uiPriority w:val="0"/>
    <w:pPr>
      <w:spacing w:before="100" w:beforeAutospacing="1" w:after="100" w:afterAutospacing="1" w:line="240" w:lineRule="auto"/>
      <w:jc w:val="left"/>
      <w:textAlignment w:val="auto"/>
    </w:pPr>
    <w:rPr>
      <w:rFonts w:ascii="宋体" w:hAnsi="宋体" w:cs="宋体"/>
      <w:color w:val="auto"/>
      <w:sz w:val="24"/>
      <w:szCs w:val="24"/>
    </w:rPr>
  </w:style>
  <w:style w:type="paragraph" w:styleId="23">
    <w:name w:val="annotation subject"/>
    <w:basedOn w:val="8"/>
    <w:next w:val="8"/>
    <w:link w:val="71"/>
    <w:autoRedefine/>
    <w:qFormat/>
    <w:uiPriority w:val="0"/>
    <w:rPr>
      <w:b/>
      <w:bCs/>
    </w:rPr>
  </w:style>
  <w:style w:type="paragraph" w:styleId="24">
    <w:name w:val="Body Text First Indent"/>
    <w:basedOn w:val="9"/>
    <w:next w:val="1"/>
    <w:autoRedefine/>
    <w:qFormat/>
    <w:uiPriority w:val="0"/>
    <w:pPr>
      <w:ind w:firstLine="420" w:firstLineChars="100"/>
    </w:pPr>
  </w:style>
  <w:style w:type="paragraph" w:styleId="25">
    <w:name w:val="Body Text First Indent 2"/>
    <w:basedOn w:val="11"/>
    <w:next w:val="20"/>
    <w:autoRedefine/>
    <w:qFormat/>
    <w:uiPriority w:val="0"/>
    <w:pPr>
      <w:spacing w:line="360" w:lineRule="auto"/>
      <w:ind w:firstLine="200" w:firstLineChars="200"/>
    </w:pPr>
    <w:rPr>
      <w:rFonts w:ascii="宋体"/>
    </w:r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9">
    <w:name w:val="Strong"/>
    <w:qFormat/>
    <w:uiPriority w:val="0"/>
    <w:rPr>
      <w:b/>
    </w:rPr>
  </w:style>
  <w:style w:type="character" w:styleId="30">
    <w:name w:val="page number"/>
    <w:basedOn w:val="28"/>
    <w:qFormat/>
    <w:uiPriority w:val="0"/>
  </w:style>
  <w:style w:type="character" w:styleId="31">
    <w:name w:val="FollowedHyperlink"/>
    <w:qFormat/>
    <w:uiPriority w:val="0"/>
    <w:rPr>
      <w:color w:val="333333"/>
      <w:u w:val="none"/>
    </w:rPr>
  </w:style>
  <w:style w:type="character" w:styleId="32">
    <w:name w:val="Emphasis"/>
    <w:qFormat/>
    <w:uiPriority w:val="0"/>
  </w:style>
  <w:style w:type="character" w:styleId="33">
    <w:name w:val="HTML Definition"/>
    <w:qFormat/>
    <w:uiPriority w:val="0"/>
  </w:style>
  <w:style w:type="character" w:styleId="34">
    <w:name w:val="HTML Typewriter"/>
    <w:qFormat/>
    <w:uiPriority w:val="0"/>
    <w:rPr>
      <w:rFonts w:hint="default" w:ascii="monospace" w:hAnsi="monospace" w:eastAsia="monospace" w:cs="monospace"/>
      <w:sz w:val="20"/>
    </w:rPr>
  </w:style>
  <w:style w:type="character" w:styleId="35">
    <w:name w:val="HTML Acronym"/>
    <w:basedOn w:val="28"/>
    <w:qFormat/>
    <w:uiPriority w:val="0"/>
  </w:style>
  <w:style w:type="character" w:styleId="36">
    <w:name w:val="HTML Variable"/>
    <w:qFormat/>
    <w:uiPriority w:val="0"/>
  </w:style>
  <w:style w:type="character" w:styleId="37">
    <w:name w:val="Hyperlink"/>
    <w:qFormat/>
    <w:uiPriority w:val="99"/>
    <w:rPr>
      <w:color w:val="333333"/>
      <w:u w:val="none"/>
    </w:rPr>
  </w:style>
  <w:style w:type="character" w:styleId="38">
    <w:name w:val="HTML Code"/>
    <w:qFormat/>
    <w:uiPriority w:val="0"/>
    <w:rPr>
      <w:rFonts w:hint="default" w:ascii="monospace" w:hAnsi="monospace" w:eastAsia="monospace" w:cs="monospace"/>
      <w:sz w:val="20"/>
    </w:rPr>
  </w:style>
  <w:style w:type="character" w:styleId="39">
    <w:name w:val="annotation reference"/>
    <w:basedOn w:val="28"/>
    <w:qFormat/>
    <w:uiPriority w:val="0"/>
    <w:rPr>
      <w:sz w:val="21"/>
      <w:szCs w:val="21"/>
    </w:rPr>
  </w:style>
  <w:style w:type="character" w:styleId="40">
    <w:name w:val="HTML Cite"/>
    <w:qFormat/>
    <w:uiPriority w:val="0"/>
  </w:style>
  <w:style w:type="character" w:styleId="41">
    <w:name w:val="HTML Keyboard"/>
    <w:qFormat/>
    <w:uiPriority w:val="0"/>
    <w:rPr>
      <w:rFonts w:ascii="monospace" w:hAnsi="monospace" w:eastAsia="monospace" w:cs="monospace"/>
      <w:sz w:val="20"/>
    </w:rPr>
  </w:style>
  <w:style w:type="character" w:styleId="42">
    <w:name w:val="HTML Sample"/>
    <w:qFormat/>
    <w:uiPriority w:val="0"/>
    <w:rPr>
      <w:rFonts w:hint="default" w:ascii="monospace" w:hAnsi="monospace" w:eastAsia="monospace" w:cs="monospace"/>
    </w:rPr>
  </w:style>
  <w:style w:type="paragraph" w:customStyle="1" w:styleId="43">
    <w:name w:val="正文文字 8"/>
    <w:basedOn w:val="1"/>
    <w:next w:val="1"/>
    <w:autoRedefine/>
    <w:qFormat/>
    <w:uiPriority w:val="0"/>
    <w:pPr>
      <w:ind w:left="240"/>
    </w:pPr>
    <w:rPr>
      <w:sz w:val="16"/>
    </w:rPr>
  </w:style>
  <w:style w:type="paragraph" w:customStyle="1" w:styleId="44">
    <w:name w:val="正文 New"/>
    <w:unhideWhenUsed/>
    <w:qFormat/>
    <w:uiPriority w:val="99"/>
    <w:pPr>
      <w:widowControl w:val="0"/>
      <w:spacing w:line="440" w:lineRule="exact"/>
      <w:ind w:left="357" w:hanging="357"/>
      <w:jc w:val="both"/>
    </w:pPr>
    <w:rPr>
      <w:rFonts w:ascii="Calibri" w:hAnsi="Calibri" w:eastAsia="宋体" w:cs="Times New Roman"/>
      <w:kern w:val="2"/>
      <w:sz w:val="21"/>
      <w:szCs w:val="22"/>
      <w:lang w:val="en-US" w:eastAsia="zh-CN" w:bidi="ar-SA"/>
    </w:rPr>
  </w:style>
  <w:style w:type="character" w:customStyle="1" w:styleId="45">
    <w:name w:val="标题 6 Char"/>
    <w:link w:val="6"/>
    <w:qFormat/>
    <w:uiPriority w:val="0"/>
    <w:rPr>
      <w:rFonts w:ascii="Cambria" w:hAnsi="Cambria" w:eastAsia="宋体" w:cs="Times New Roman"/>
      <w:b/>
      <w:bCs/>
      <w:color w:val="000000"/>
      <w:sz w:val="24"/>
      <w:szCs w:val="24"/>
      <w:u w:color="000000"/>
    </w:rPr>
  </w:style>
  <w:style w:type="character" w:customStyle="1" w:styleId="46">
    <w:name w:val="标题 2 Char"/>
    <w:qFormat/>
    <w:uiPriority w:val="0"/>
    <w:rPr>
      <w:rFonts w:eastAsia="宋体"/>
      <w:sz w:val="24"/>
      <w:lang w:val="en-US" w:eastAsia="zh-CN" w:bidi="ar-SA"/>
    </w:rPr>
  </w:style>
  <w:style w:type="character" w:customStyle="1" w:styleId="47">
    <w:name w:val="日期 Char"/>
    <w:link w:val="13"/>
    <w:qFormat/>
    <w:uiPriority w:val="0"/>
    <w:rPr>
      <w:rFonts w:ascii="Arial" w:hAnsi="Arial" w:eastAsia="仿宋_GB2312"/>
      <w:kern w:val="2"/>
      <w:sz w:val="32"/>
      <w:lang w:val="en-US" w:eastAsia="zh-CN" w:bidi="ar-SA"/>
    </w:rPr>
  </w:style>
  <w:style w:type="character" w:customStyle="1" w:styleId="48">
    <w:name w:val="正文文本缩进 3 Char"/>
    <w:link w:val="21"/>
    <w:qFormat/>
    <w:uiPriority w:val="0"/>
    <w:rPr>
      <w:color w:val="000000"/>
      <w:sz w:val="16"/>
      <w:szCs w:val="16"/>
      <w:u w:color="000000"/>
    </w:rPr>
  </w:style>
  <w:style w:type="character" w:customStyle="1" w:styleId="49">
    <w:name w:val="正文缩进 Char2"/>
    <w:qFormat/>
    <w:uiPriority w:val="0"/>
    <w:rPr>
      <w:rFonts w:eastAsia="宋体"/>
      <w:sz w:val="24"/>
      <w:lang w:val="en-US" w:eastAsia="zh-CN" w:bidi="ar-SA"/>
    </w:rPr>
  </w:style>
  <w:style w:type="character" w:customStyle="1" w:styleId="50">
    <w:name w:val="正文缩进 Char Char"/>
    <w:qFormat/>
    <w:uiPriority w:val="0"/>
    <w:rPr>
      <w:rFonts w:eastAsia="宋体"/>
      <w:kern w:val="2"/>
      <w:sz w:val="21"/>
      <w:szCs w:val="24"/>
      <w:lang w:val="en-US" w:eastAsia="zh-CN" w:bidi="ar-SA"/>
    </w:rPr>
  </w:style>
  <w:style w:type="character" w:customStyle="1" w:styleId="51">
    <w:name w:val="正文（缩进） Char Char"/>
    <w:link w:val="52"/>
    <w:qFormat/>
    <w:uiPriority w:val="0"/>
    <w:rPr>
      <w:rFonts w:eastAsia="宋体"/>
      <w:kern w:val="2"/>
      <w:sz w:val="24"/>
      <w:szCs w:val="24"/>
      <w:lang w:val="en-US" w:eastAsia="zh-CN" w:bidi="ar-SA"/>
    </w:rPr>
  </w:style>
  <w:style w:type="paragraph" w:customStyle="1" w:styleId="52">
    <w:name w:val="正文（缩进）"/>
    <w:basedOn w:val="1"/>
    <w:link w:val="51"/>
    <w:qFormat/>
    <w:uiPriority w:val="0"/>
    <w:pPr>
      <w:widowControl w:val="0"/>
      <w:spacing w:beforeLines="50" w:afterLines="50" w:line="360" w:lineRule="auto"/>
      <w:ind w:firstLine="480" w:firstLineChars="200"/>
      <w:textAlignment w:val="auto"/>
    </w:pPr>
    <w:rPr>
      <w:color w:val="auto"/>
      <w:kern w:val="2"/>
      <w:sz w:val="24"/>
      <w:szCs w:val="24"/>
    </w:rPr>
  </w:style>
  <w:style w:type="character" w:customStyle="1" w:styleId="53">
    <w:name w:val="页眉 Char Char"/>
    <w:qFormat/>
    <w:uiPriority w:val="0"/>
    <w:rPr>
      <w:rFonts w:eastAsia="宋体"/>
      <w:color w:val="000000"/>
      <w:sz w:val="18"/>
      <w:szCs w:val="18"/>
      <w:u w:color="000000"/>
      <w:lang w:val="en-US" w:eastAsia="zh-CN" w:bidi="ar-SA"/>
    </w:rPr>
  </w:style>
  <w:style w:type="paragraph" w:customStyle="1" w:styleId="54">
    <w:name w:val="正文文字2"/>
    <w:basedOn w:val="9"/>
    <w:qFormat/>
    <w:uiPriority w:val="0"/>
    <w:pPr>
      <w:adjustRightInd w:val="0"/>
      <w:snapToGrid/>
      <w:spacing w:after="60" w:line="360" w:lineRule="atLeast"/>
      <w:ind w:left="72" w:leftChars="30" w:right="72" w:rightChars="30"/>
      <w:jc w:val="center"/>
    </w:pPr>
    <w:rPr>
      <w:rFonts w:hAnsi="Times New Roman" w:eastAsia="黑体"/>
      <w:color w:val="auto"/>
      <w:sz w:val="21"/>
    </w:rPr>
  </w:style>
  <w:style w:type="paragraph" w:customStyle="1" w:styleId="55">
    <w:name w:val="p0 New"/>
    <w:basedOn w:val="1"/>
    <w:qFormat/>
    <w:uiPriority w:val="0"/>
    <w:pPr>
      <w:spacing w:line="240" w:lineRule="auto"/>
      <w:jc w:val="left"/>
      <w:textAlignment w:val="auto"/>
    </w:pPr>
    <w:rPr>
      <w:rFonts w:ascii="宋体" w:hAnsi="宋体" w:cs="宋体"/>
      <w:color w:val="auto"/>
      <w:sz w:val="18"/>
      <w:szCs w:val="18"/>
    </w:rPr>
  </w:style>
  <w:style w:type="paragraph" w:customStyle="1" w:styleId="56">
    <w:name w:val="flName"/>
    <w:basedOn w:val="1"/>
    <w:qFormat/>
    <w:uiPriority w:val="0"/>
    <w:pPr>
      <w:widowControl w:val="0"/>
      <w:adjustRightInd w:val="0"/>
      <w:spacing w:before="320" w:after="160" w:line="360" w:lineRule="atLeast"/>
      <w:jc w:val="center"/>
    </w:pPr>
    <w:rPr>
      <w:rFonts w:ascii="Arial" w:eastAsia="黑体"/>
      <w:color w:val="auto"/>
      <w:sz w:val="32"/>
    </w:rPr>
  </w:style>
  <w:style w:type="paragraph" w:customStyle="1" w:styleId="57">
    <w:name w:val="2"/>
    <w:basedOn w:val="1"/>
    <w:qFormat/>
    <w:uiPriority w:val="0"/>
    <w:pPr>
      <w:adjustRightInd w:val="0"/>
      <w:spacing w:line="420" w:lineRule="atLeast"/>
      <w:ind w:left="1134" w:hanging="227"/>
      <w:jc w:val="left"/>
    </w:pPr>
    <w:rPr>
      <w:rFonts w:ascii="宋体" w:hAnsi="宋体" w:cs="宋体"/>
      <w:sz w:val="24"/>
    </w:rPr>
  </w:style>
  <w:style w:type="paragraph" w:customStyle="1" w:styleId="58">
    <w:name w:val="Char Char Char Char"/>
    <w:basedOn w:val="1"/>
    <w:qFormat/>
    <w:uiPriority w:val="0"/>
    <w:pPr>
      <w:widowControl w:val="0"/>
      <w:spacing w:line="240" w:lineRule="auto"/>
      <w:textAlignment w:val="auto"/>
    </w:pPr>
    <w:rPr>
      <w:rFonts w:ascii="Tahoma" w:hAnsi="Tahoma"/>
      <w:color w:val="auto"/>
      <w:kern w:val="2"/>
      <w:sz w:val="24"/>
    </w:rPr>
  </w:style>
  <w:style w:type="paragraph" w:customStyle="1" w:styleId="59">
    <w:name w:val="样式 正文（缩进） + (中文) 楷体_GB2312"/>
    <w:basedOn w:val="52"/>
    <w:qFormat/>
    <w:uiPriority w:val="0"/>
    <w:pPr>
      <w:ind w:left="1" w:leftChars="-1" w:hanging="3" w:hangingChars="1"/>
      <w:jc w:val="center"/>
    </w:pPr>
    <w:rPr>
      <w:rFonts w:ascii="宋体" w:hAnsi="宋体"/>
      <w:b/>
      <w:bCs/>
      <w:sz w:val="28"/>
      <w:szCs w:val="28"/>
    </w:rPr>
  </w:style>
  <w:style w:type="paragraph" w:customStyle="1" w:styleId="60">
    <w:name w:val="Char Char Char Char Char Char Char"/>
    <w:basedOn w:val="1"/>
    <w:qFormat/>
    <w:uiPriority w:val="0"/>
    <w:pPr>
      <w:widowControl w:val="0"/>
      <w:tabs>
        <w:tab w:val="left" w:pos="432"/>
      </w:tabs>
      <w:spacing w:line="240" w:lineRule="auto"/>
      <w:ind w:left="432" w:hanging="432"/>
      <w:textAlignment w:val="auto"/>
    </w:pPr>
    <w:rPr>
      <w:rFonts w:ascii="Tahoma" w:hAnsi="Tahoma"/>
      <w:color w:val="auto"/>
      <w:kern w:val="2"/>
      <w:sz w:val="24"/>
    </w:rPr>
  </w:style>
  <w:style w:type="paragraph" w:customStyle="1" w:styleId="61">
    <w:name w:val="Char"/>
    <w:basedOn w:val="1"/>
    <w:qFormat/>
    <w:uiPriority w:val="0"/>
    <w:pPr>
      <w:widowControl w:val="0"/>
      <w:spacing w:line="240" w:lineRule="auto"/>
      <w:textAlignment w:val="auto"/>
    </w:pPr>
    <w:rPr>
      <w:rFonts w:ascii="仿宋_GB2312" w:eastAsia="仿宋_GB2312"/>
      <w:b/>
      <w:color w:val="auto"/>
      <w:kern w:val="2"/>
      <w:sz w:val="32"/>
      <w:szCs w:val="32"/>
    </w:rPr>
  </w:style>
  <w:style w:type="paragraph" w:customStyle="1" w:styleId="62">
    <w:name w:val="缺省文本"/>
    <w:basedOn w:val="1"/>
    <w:qFormat/>
    <w:uiPriority w:val="0"/>
    <w:pPr>
      <w:widowControl w:val="0"/>
      <w:autoSpaceDE w:val="0"/>
      <w:autoSpaceDN w:val="0"/>
      <w:adjustRightInd w:val="0"/>
      <w:spacing w:line="240" w:lineRule="auto"/>
      <w:jc w:val="left"/>
      <w:textAlignment w:val="auto"/>
    </w:pPr>
    <w:rPr>
      <w:color w:val="auto"/>
      <w:sz w:val="24"/>
    </w:rPr>
  </w:style>
  <w:style w:type="paragraph" w:customStyle="1" w:styleId="63">
    <w:name w:val="正文文字1"/>
    <w:basedOn w:val="9"/>
    <w:qFormat/>
    <w:uiPriority w:val="0"/>
    <w:pPr>
      <w:adjustRightInd w:val="0"/>
      <w:snapToGrid/>
      <w:spacing w:line="360" w:lineRule="atLeast"/>
      <w:ind w:left="72" w:leftChars="30" w:right="72" w:rightChars="30"/>
    </w:pPr>
    <w:rPr>
      <w:rFonts w:ascii="Times New Roman" w:hAnsi="Times New Roman" w:eastAsia="宋体"/>
      <w:color w:val="auto"/>
      <w:sz w:val="21"/>
    </w:rPr>
  </w:style>
  <w:style w:type="paragraph" w:customStyle="1" w:styleId="64">
    <w:name w:val="Char Char Char Char Char Char Char1"/>
    <w:basedOn w:val="1"/>
    <w:qFormat/>
    <w:uiPriority w:val="0"/>
    <w:pPr>
      <w:widowControl w:val="0"/>
      <w:spacing w:line="240" w:lineRule="auto"/>
      <w:textAlignment w:val="auto"/>
    </w:pPr>
    <w:rPr>
      <w:color w:val="auto"/>
      <w:kern w:val="2"/>
    </w:rPr>
  </w:style>
  <w:style w:type="paragraph" w:customStyle="1" w:styleId="65">
    <w:name w:val="Biao00"/>
    <w:qFormat/>
    <w:uiPriority w:val="0"/>
    <w:pPr>
      <w:widowControl w:val="0"/>
      <w:spacing w:line="0" w:lineRule="atLeast"/>
      <w:jc w:val="center"/>
    </w:pPr>
    <w:rPr>
      <w:rFonts w:ascii="Arial" w:hAnsi="Arial" w:eastAsia="仿宋_GB2312" w:cs="Times New Roman"/>
      <w:bCs/>
      <w:w w:val="90"/>
      <w:kern w:val="18"/>
      <w:sz w:val="24"/>
      <w:szCs w:val="24"/>
      <w:lang w:val="en-US" w:eastAsia="zh-CN" w:bidi="ar-SA"/>
    </w:rPr>
  </w:style>
  <w:style w:type="paragraph" w:customStyle="1" w:styleId="66">
    <w:name w:val="样式1"/>
    <w:basedOn w:val="1"/>
    <w:qFormat/>
    <w:uiPriority w:val="0"/>
    <w:pPr>
      <w:widowControl w:val="0"/>
      <w:spacing w:line="240" w:lineRule="auto"/>
      <w:textAlignment w:val="auto"/>
    </w:pPr>
    <w:rPr>
      <w:rFonts w:ascii="Arial" w:hAnsi="Arial" w:eastAsia="仿宋_GB2312"/>
      <w:color w:val="auto"/>
      <w:kern w:val="2"/>
      <w:sz w:val="32"/>
    </w:rPr>
  </w:style>
  <w:style w:type="paragraph" w:customStyle="1" w:styleId="67">
    <w:name w:val="节标题"/>
    <w:basedOn w:val="1"/>
    <w:next w:val="1"/>
    <w:qFormat/>
    <w:uiPriority w:val="0"/>
    <w:pPr>
      <w:spacing w:line="289" w:lineRule="atLeast"/>
      <w:jc w:val="center"/>
    </w:pPr>
    <w:rPr>
      <w:sz w:val="28"/>
    </w:rPr>
  </w:style>
  <w:style w:type="paragraph" w:styleId="68">
    <w:name w:val="List Paragraph"/>
    <w:basedOn w:val="1"/>
    <w:qFormat/>
    <w:uiPriority w:val="99"/>
    <w:pPr>
      <w:ind w:firstLine="420" w:firstLineChars="200"/>
    </w:pPr>
  </w:style>
  <w:style w:type="character" w:customStyle="1" w:styleId="69">
    <w:name w:val="未处理的提及1"/>
    <w:basedOn w:val="28"/>
    <w:semiHidden/>
    <w:unhideWhenUsed/>
    <w:qFormat/>
    <w:uiPriority w:val="99"/>
    <w:rPr>
      <w:color w:val="605E5C"/>
      <w:shd w:val="clear" w:color="auto" w:fill="E1DFDD"/>
    </w:rPr>
  </w:style>
  <w:style w:type="character" w:customStyle="1" w:styleId="70">
    <w:name w:val="批注文字 Char"/>
    <w:basedOn w:val="28"/>
    <w:link w:val="8"/>
    <w:qFormat/>
    <w:uiPriority w:val="99"/>
    <w:rPr>
      <w:color w:val="000000"/>
      <w:sz w:val="21"/>
      <w:u w:color="000000"/>
    </w:rPr>
  </w:style>
  <w:style w:type="character" w:customStyle="1" w:styleId="71">
    <w:name w:val="批注主题 Char"/>
    <w:basedOn w:val="70"/>
    <w:link w:val="23"/>
    <w:qFormat/>
    <w:uiPriority w:val="0"/>
    <w:rPr>
      <w:b/>
      <w:bCs/>
      <w:color w:val="000000"/>
      <w:sz w:val="21"/>
      <w:u w:color="000000"/>
    </w:rPr>
  </w:style>
  <w:style w:type="paragraph" w:customStyle="1" w:styleId="72">
    <w:name w:val="修订1"/>
    <w:hidden/>
    <w:semiHidden/>
    <w:qFormat/>
    <w:uiPriority w:val="99"/>
    <w:rPr>
      <w:rFonts w:ascii="Times New Roman" w:hAnsi="Times New Roman" w:eastAsia="宋体" w:cs="Times New Roman"/>
      <w:color w:val="000000"/>
      <w:sz w:val="21"/>
      <w:u w:color="000000"/>
      <w:lang w:val="en-US" w:eastAsia="zh-CN" w:bidi="ar-SA"/>
    </w:rPr>
  </w:style>
  <w:style w:type="paragraph" w:customStyle="1" w:styleId="73">
    <w:name w:val="列表段落1"/>
    <w:basedOn w:val="1"/>
    <w:qFormat/>
    <w:uiPriority w:val="99"/>
    <w:pPr>
      <w:ind w:firstLine="420" w:firstLineChars="200"/>
    </w:pPr>
  </w:style>
  <w:style w:type="character" w:customStyle="1" w:styleId="74">
    <w:name w:val="批注框文本 Char"/>
    <w:basedOn w:val="28"/>
    <w:link w:val="15"/>
    <w:qFormat/>
    <w:uiPriority w:val="0"/>
    <w:rPr>
      <w:color w:val="000000"/>
      <w:sz w:val="18"/>
      <w:szCs w:val="18"/>
      <w:u w:color="000000"/>
    </w:rPr>
  </w:style>
  <w:style w:type="paragraph" w:customStyle="1" w:styleId="75">
    <w:name w:val="首行缩进"/>
    <w:basedOn w:val="1"/>
    <w:qFormat/>
    <w:uiPriority w:val="0"/>
    <w:pPr>
      <w:ind w:firstLine="480" w:firstLineChars="200"/>
    </w:pPr>
    <w:rPr>
      <w:rFonts w:ascii="Times New Roman" w:hAnsi="Times New Roman" w:eastAsia="宋体" w:cs="Times New Roman"/>
      <w:sz w:val="24"/>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303EBC-32BF-47B8-A2AD-108A1F2C124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31</Pages>
  <Words>13888</Words>
  <Characters>14676</Characters>
  <Lines>119</Lines>
  <Paragraphs>33</Paragraphs>
  <TotalTime>69</TotalTime>
  <ScaleCrop>false</ScaleCrop>
  <LinksUpToDate>false</LinksUpToDate>
  <CharactersWithSpaces>16184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2021-10-16T14:19:00Z</dcterms:created>
  <dc:creator>微软用户</dc:creator>
  <cp:lastModifiedBy>陈莎莎</cp:lastModifiedBy>
  <cp:lastPrinted>2022-09-30T03:52:00Z</cp:lastPrinted>
  <dcterms:modified xsi:type="dcterms:W3CDTF">2026-10-15T01:39:12Z</dcterms:modified>
  <dc:subject>(代理机构名称）作者名称</dc:subject>
  <dc:title>项目编号：MASCG-HD2011030</dc:title>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F84232704B46408F8F413755D4C48E47_13</vt:lpwstr>
  </property>
  <property fmtid="{D5CDD505-2E9C-101B-9397-08002B2CF9AE}" pid="4" name="KSOTemplateDocerSaveRecord">
    <vt:lpwstr>eyJoZGlkIjoiNTdkMTBhMWQyMzk2MjFkZmFiM2VjNDQ4ZWI5M2Y4ZTAiLCJ1c2VySWQiOiIxNTY1Mjc4Mzk4In0=</vt:lpwstr>
  </property>
</Properties>
</file>